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33BE" w14:textId="77777777" w:rsidR="00BD16B5" w:rsidRDefault="000373BB" w:rsidP="00BD16B5">
      <w:pPr>
        <w:jc w:val="center"/>
        <w:rPr>
          <w:b/>
          <w:sz w:val="32"/>
          <w:szCs w:val="32"/>
        </w:rPr>
      </w:pPr>
      <w:r w:rsidRPr="002E5D97">
        <w:rPr>
          <w:noProof/>
          <w:lang w:eastAsia="en-IE"/>
        </w:rPr>
        <w:drawing>
          <wp:inline distT="0" distB="0" distL="0" distR="0" wp14:anchorId="630E886A" wp14:editId="54EF9288">
            <wp:extent cx="1524000" cy="11747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604" cy="1209132"/>
                    </a:xfrm>
                    <a:prstGeom prst="rect">
                      <a:avLst/>
                    </a:prstGeom>
                  </pic:spPr>
                </pic:pic>
              </a:graphicData>
            </a:graphic>
          </wp:inline>
        </w:drawing>
      </w:r>
    </w:p>
    <w:p w14:paraId="0247CB03" w14:textId="3FF569C2" w:rsidR="00372CB1" w:rsidRPr="00091563" w:rsidRDefault="00A12494" w:rsidP="00372CB1">
      <w:pPr>
        <w:pStyle w:val="Default"/>
        <w:spacing w:line="360" w:lineRule="auto"/>
        <w:jc w:val="center"/>
        <w:rPr>
          <w:rFonts w:asciiTheme="minorHAnsi" w:hAnsiTheme="minorHAnsi" w:cstheme="minorHAnsi"/>
          <w:b/>
        </w:rPr>
      </w:pPr>
      <w:r w:rsidRPr="00091563">
        <w:rPr>
          <w:rFonts w:asciiTheme="minorHAnsi" w:hAnsiTheme="minorHAnsi" w:cstheme="minorHAnsi"/>
          <w:b/>
        </w:rPr>
        <w:t>Teachers’ Union of Ireland</w:t>
      </w:r>
      <w:r w:rsidR="001903B6" w:rsidRPr="00091563">
        <w:rPr>
          <w:rFonts w:asciiTheme="minorHAnsi" w:hAnsiTheme="minorHAnsi" w:cstheme="minorHAnsi"/>
          <w:b/>
        </w:rPr>
        <w:t xml:space="preserve"> (TUI) </w:t>
      </w:r>
      <w:r w:rsidR="0007629A" w:rsidRPr="00091563">
        <w:rPr>
          <w:rFonts w:asciiTheme="minorHAnsi" w:hAnsiTheme="minorHAnsi" w:cstheme="minorHAnsi"/>
          <w:b/>
        </w:rPr>
        <w:t>r</w:t>
      </w:r>
      <w:r w:rsidRPr="00091563">
        <w:rPr>
          <w:rFonts w:asciiTheme="minorHAnsi" w:hAnsiTheme="minorHAnsi" w:cstheme="minorHAnsi"/>
          <w:b/>
        </w:rPr>
        <w:t xml:space="preserve">esponse to </w:t>
      </w:r>
      <w:r w:rsidR="00BE5ADF" w:rsidRPr="00091563">
        <w:rPr>
          <w:rFonts w:asciiTheme="minorHAnsi" w:hAnsiTheme="minorHAnsi" w:cstheme="minorHAnsi"/>
          <w:b/>
        </w:rPr>
        <w:t xml:space="preserve">the </w:t>
      </w:r>
      <w:r w:rsidR="00740AEB" w:rsidRPr="00091563">
        <w:rPr>
          <w:rFonts w:asciiTheme="minorHAnsi" w:hAnsiTheme="minorHAnsi" w:cstheme="minorHAnsi"/>
          <w:b/>
        </w:rPr>
        <w:t>invitation of the</w:t>
      </w:r>
    </w:p>
    <w:p w14:paraId="649A2A5C" w14:textId="77777777" w:rsidR="003F2ED9" w:rsidRDefault="008D5F28" w:rsidP="00091563">
      <w:pPr>
        <w:pStyle w:val="Default"/>
        <w:spacing w:line="360" w:lineRule="auto"/>
        <w:jc w:val="center"/>
        <w:rPr>
          <w:rFonts w:asciiTheme="minorHAnsi" w:hAnsiTheme="minorHAnsi" w:cstheme="minorHAnsi"/>
          <w:b/>
        </w:rPr>
      </w:pPr>
      <w:r>
        <w:rPr>
          <w:rFonts w:asciiTheme="minorHAnsi" w:hAnsiTheme="minorHAnsi" w:cstheme="minorHAnsi"/>
          <w:b/>
        </w:rPr>
        <w:t>Higher Education Authority</w:t>
      </w:r>
      <w:r w:rsidR="00372CB1" w:rsidRPr="00091563">
        <w:rPr>
          <w:rFonts w:asciiTheme="minorHAnsi" w:hAnsiTheme="minorHAnsi" w:cstheme="minorHAnsi"/>
          <w:b/>
        </w:rPr>
        <w:t xml:space="preserve"> to make a submission</w:t>
      </w:r>
      <w:r w:rsidR="00091563" w:rsidRPr="00091563">
        <w:rPr>
          <w:rFonts w:asciiTheme="minorHAnsi" w:hAnsiTheme="minorHAnsi" w:cstheme="minorHAnsi"/>
          <w:b/>
        </w:rPr>
        <w:t xml:space="preserve"> </w:t>
      </w:r>
      <w:r w:rsidR="0070085E">
        <w:rPr>
          <w:rFonts w:asciiTheme="minorHAnsi" w:hAnsiTheme="minorHAnsi" w:cstheme="minorHAnsi"/>
          <w:b/>
        </w:rPr>
        <w:t>on</w:t>
      </w:r>
      <w:r w:rsidR="00372CB1" w:rsidRPr="00091563">
        <w:rPr>
          <w:rFonts w:asciiTheme="minorHAnsi" w:hAnsiTheme="minorHAnsi" w:cstheme="minorHAnsi"/>
          <w:b/>
        </w:rPr>
        <w:t xml:space="preserve"> the topic</w:t>
      </w:r>
      <w:r w:rsidR="0070085E">
        <w:rPr>
          <w:rFonts w:asciiTheme="minorHAnsi" w:hAnsiTheme="minorHAnsi" w:cstheme="minorHAnsi"/>
          <w:b/>
        </w:rPr>
        <w:t xml:space="preserve"> of</w:t>
      </w:r>
      <w:r w:rsidR="00372CB1" w:rsidRPr="00091563">
        <w:rPr>
          <w:rFonts w:asciiTheme="minorHAnsi" w:hAnsiTheme="minorHAnsi" w:cstheme="minorHAnsi"/>
          <w:b/>
        </w:rPr>
        <w:t xml:space="preserve"> </w:t>
      </w:r>
      <w:r>
        <w:rPr>
          <w:rFonts w:asciiTheme="minorHAnsi" w:hAnsiTheme="minorHAnsi" w:cstheme="minorHAnsi"/>
          <w:b/>
        </w:rPr>
        <w:t xml:space="preserve">the </w:t>
      </w:r>
    </w:p>
    <w:p w14:paraId="482CD9CA" w14:textId="05D557E9" w:rsidR="001903B6" w:rsidRPr="00091563" w:rsidRDefault="00372CB1" w:rsidP="00091563">
      <w:pPr>
        <w:pStyle w:val="Default"/>
        <w:spacing w:line="360" w:lineRule="auto"/>
        <w:jc w:val="center"/>
        <w:rPr>
          <w:rFonts w:asciiTheme="minorHAnsi" w:hAnsiTheme="minorHAnsi" w:cstheme="minorHAnsi"/>
          <w:b/>
        </w:rPr>
      </w:pPr>
      <w:r w:rsidRPr="00091563">
        <w:rPr>
          <w:rFonts w:asciiTheme="minorHAnsi" w:hAnsiTheme="minorHAnsi" w:cstheme="minorHAnsi"/>
          <w:b/>
        </w:rPr>
        <w:t>“</w:t>
      </w:r>
      <w:r w:rsidR="00CC2D5E">
        <w:rPr>
          <w:rFonts w:asciiTheme="minorHAnsi" w:hAnsiTheme="minorHAnsi" w:cstheme="minorHAnsi"/>
          <w:b/>
          <w:i/>
          <w:iCs/>
        </w:rPr>
        <w:t xml:space="preserve">National </w:t>
      </w:r>
      <w:r w:rsidR="00273D34">
        <w:rPr>
          <w:rFonts w:asciiTheme="minorHAnsi" w:hAnsiTheme="minorHAnsi" w:cstheme="minorHAnsi"/>
          <w:b/>
          <w:i/>
          <w:iCs/>
        </w:rPr>
        <w:t>A</w:t>
      </w:r>
      <w:r w:rsidR="00CC2D5E">
        <w:rPr>
          <w:rFonts w:asciiTheme="minorHAnsi" w:hAnsiTheme="minorHAnsi" w:cstheme="minorHAnsi"/>
          <w:b/>
          <w:i/>
          <w:iCs/>
        </w:rPr>
        <w:t>ccess Plan</w:t>
      </w:r>
      <w:r w:rsidRPr="00091563">
        <w:rPr>
          <w:rFonts w:asciiTheme="minorHAnsi" w:hAnsiTheme="minorHAnsi" w:cstheme="minorHAnsi"/>
          <w:b/>
          <w:i/>
          <w:iCs/>
        </w:rPr>
        <w:t>”.</w:t>
      </w:r>
    </w:p>
    <w:p w14:paraId="7BABE515" w14:textId="51BD36D7" w:rsidR="00A12494" w:rsidRPr="00091563" w:rsidRDefault="00A12494" w:rsidP="00372CB1">
      <w:pPr>
        <w:spacing w:line="360" w:lineRule="auto"/>
        <w:jc w:val="center"/>
        <w:rPr>
          <w:rFonts w:cstheme="minorHAnsi"/>
          <w:b/>
          <w:sz w:val="24"/>
          <w:szCs w:val="24"/>
        </w:rPr>
      </w:pPr>
      <w:r w:rsidRPr="00091563">
        <w:rPr>
          <w:rFonts w:cstheme="minorHAnsi"/>
          <w:b/>
          <w:sz w:val="24"/>
          <w:szCs w:val="24"/>
        </w:rPr>
        <w:t>(</w:t>
      </w:r>
      <w:r w:rsidR="0029002D">
        <w:rPr>
          <w:rFonts w:cstheme="minorHAnsi"/>
          <w:b/>
          <w:sz w:val="24"/>
          <w:szCs w:val="24"/>
        </w:rPr>
        <w:t>May</w:t>
      </w:r>
      <w:r w:rsidR="00666E2F">
        <w:rPr>
          <w:rFonts w:cstheme="minorHAnsi"/>
          <w:b/>
          <w:sz w:val="24"/>
          <w:szCs w:val="24"/>
        </w:rPr>
        <w:t xml:space="preserve"> </w:t>
      </w:r>
      <w:r w:rsidR="001669AD">
        <w:rPr>
          <w:rFonts w:cstheme="minorHAnsi"/>
          <w:b/>
          <w:sz w:val="24"/>
          <w:szCs w:val="24"/>
        </w:rPr>
        <w:t>2021</w:t>
      </w:r>
      <w:r w:rsidR="00774CF1" w:rsidRPr="00091563">
        <w:rPr>
          <w:rFonts w:cstheme="minorHAnsi"/>
          <w:b/>
          <w:sz w:val="24"/>
          <w:szCs w:val="24"/>
        </w:rPr>
        <w:t>)</w:t>
      </w:r>
    </w:p>
    <w:p w14:paraId="791ACE9F" w14:textId="77777777" w:rsidR="00F46C7F" w:rsidRDefault="00F46C7F" w:rsidP="00014283">
      <w:pPr>
        <w:spacing w:after="0" w:line="360" w:lineRule="auto"/>
        <w:jc w:val="both"/>
        <w:rPr>
          <w:rFonts w:cstheme="minorHAnsi"/>
          <w:b/>
          <w:sz w:val="24"/>
          <w:szCs w:val="24"/>
          <w:u w:val="single"/>
        </w:rPr>
      </w:pPr>
    </w:p>
    <w:p w14:paraId="331CD4B7" w14:textId="60996DEC" w:rsidR="00DF3151" w:rsidRPr="00896236" w:rsidRDefault="00DF3151" w:rsidP="00896236">
      <w:pPr>
        <w:spacing w:after="0" w:line="360" w:lineRule="auto"/>
        <w:jc w:val="both"/>
        <w:rPr>
          <w:rFonts w:cstheme="minorHAnsi"/>
          <w:b/>
          <w:sz w:val="24"/>
          <w:szCs w:val="24"/>
          <w:u w:val="single"/>
        </w:rPr>
      </w:pPr>
      <w:r w:rsidRPr="00896236">
        <w:rPr>
          <w:rFonts w:cstheme="minorHAnsi"/>
          <w:b/>
          <w:sz w:val="24"/>
          <w:szCs w:val="24"/>
          <w:u w:val="single"/>
        </w:rPr>
        <w:t>Introduction</w:t>
      </w:r>
    </w:p>
    <w:p w14:paraId="74193FC0" w14:textId="6A25AFD7" w:rsidR="00DF3151" w:rsidRPr="00896236" w:rsidRDefault="001542F7" w:rsidP="00896236">
      <w:pPr>
        <w:spacing w:after="0" w:line="360" w:lineRule="auto"/>
        <w:jc w:val="both"/>
        <w:rPr>
          <w:rFonts w:cstheme="minorHAnsi"/>
          <w:sz w:val="24"/>
          <w:szCs w:val="24"/>
        </w:rPr>
      </w:pPr>
      <w:r w:rsidRPr="00896236">
        <w:rPr>
          <w:rFonts w:cstheme="minorHAnsi"/>
          <w:sz w:val="24"/>
          <w:szCs w:val="24"/>
        </w:rPr>
        <w:t xml:space="preserve">The </w:t>
      </w:r>
      <w:r w:rsidR="008C1AAB" w:rsidRPr="00896236">
        <w:rPr>
          <w:rFonts w:cstheme="minorHAnsi"/>
          <w:sz w:val="24"/>
          <w:szCs w:val="24"/>
        </w:rPr>
        <w:t>TUI represents teachers</w:t>
      </w:r>
      <w:r w:rsidRPr="00896236">
        <w:rPr>
          <w:rFonts w:cstheme="minorHAnsi"/>
          <w:sz w:val="24"/>
          <w:szCs w:val="24"/>
        </w:rPr>
        <w:t xml:space="preserve">, </w:t>
      </w:r>
      <w:proofErr w:type="gramStart"/>
      <w:r w:rsidRPr="00896236">
        <w:rPr>
          <w:rFonts w:cstheme="minorHAnsi"/>
          <w:sz w:val="24"/>
          <w:szCs w:val="24"/>
        </w:rPr>
        <w:t>l</w:t>
      </w:r>
      <w:r w:rsidR="000F61E9" w:rsidRPr="00896236">
        <w:rPr>
          <w:rFonts w:cstheme="minorHAnsi"/>
          <w:sz w:val="24"/>
          <w:szCs w:val="24"/>
        </w:rPr>
        <w:t>ecturers</w:t>
      </w:r>
      <w:proofErr w:type="gramEnd"/>
      <w:r w:rsidR="000F61E9" w:rsidRPr="00896236">
        <w:rPr>
          <w:rFonts w:cstheme="minorHAnsi"/>
          <w:sz w:val="24"/>
          <w:szCs w:val="24"/>
        </w:rPr>
        <w:t xml:space="preserve"> and staff </w:t>
      </w:r>
      <w:r w:rsidR="00A86D58" w:rsidRPr="00896236">
        <w:rPr>
          <w:rFonts w:cstheme="minorHAnsi"/>
          <w:sz w:val="24"/>
          <w:szCs w:val="24"/>
        </w:rPr>
        <w:t>(</w:t>
      </w:r>
      <w:r w:rsidR="005D6C86" w:rsidRPr="00896236">
        <w:rPr>
          <w:rFonts w:cstheme="minorHAnsi"/>
          <w:sz w:val="24"/>
          <w:szCs w:val="24"/>
        </w:rPr>
        <w:t>19</w:t>
      </w:r>
      <w:r w:rsidR="00A86D58" w:rsidRPr="00896236">
        <w:rPr>
          <w:rFonts w:cstheme="minorHAnsi"/>
          <w:sz w:val="24"/>
          <w:szCs w:val="24"/>
        </w:rPr>
        <w:t xml:space="preserve">,000+) </w:t>
      </w:r>
      <w:r w:rsidR="000F61E9" w:rsidRPr="00896236">
        <w:rPr>
          <w:rFonts w:cstheme="minorHAnsi"/>
          <w:sz w:val="24"/>
          <w:szCs w:val="24"/>
        </w:rPr>
        <w:t xml:space="preserve">in </w:t>
      </w:r>
      <w:r w:rsidR="00433CE8" w:rsidRPr="00896236">
        <w:rPr>
          <w:rFonts w:cstheme="minorHAnsi"/>
          <w:sz w:val="24"/>
          <w:szCs w:val="24"/>
        </w:rPr>
        <w:t xml:space="preserve">Education and Training Boards (ETBs), voluntary secondary schools, Community and Comprehensive (C&amp;C) schools, </w:t>
      </w:r>
      <w:proofErr w:type="spellStart"/>
      <w:r w:rsidR="00433CE8" w:rsidRPr="00896236">
        <w:rPr>
          <w:rFonts w:cstheme="minorHAnsi"/>
          <w:sz w:val="24"/>
          <w:szCs w:val="24"/>
        </w:rPr>
        <w:t>Youthreach</w:t>
      </w:r>
      <w:proofErr w:type="spellEnd"/>
      <w:r w:rsidR="00433CE8" w:rsidRPr="00896236">
        <w:rPr>
          <w:rFonts w:cstheme="minorHAnsi"/>
          <w:sz w:val="24"/>
          <w:szCs w:val="24"/>
        </w:rPr>
        <w:t xml:space="preserve">, institutes of technology and technological universities and those working in </w:t>
      </w:r>
      <w:r w:rsidR="000F61E9" w:rsidRPr="00896236">
        <w:rPr>
          <w:rFonts w:cstheme="minorHAnsi"/>
          <w:sz w:val="24"/>
          <w:szCs w:val="24"/>
        </w:rPr>
        <w:t>out of school services</w:t>
      </w:r>
      <w:r w:rsidR="00433CE8" w:rsidRPr="00896236">
        <w:rPr>
          <w:rFonts w:cstheme="minorHAnsi"/>
          <w:sz w:val="24"/>
          <w:szCs w:val="24"/>
        </w:rPr>
        <w:t>.</w:t>
      </w:r>
    </w:p>
    <w:p w14:paraId="07AFAFB3" w14:textId="77777777" w:rsidR="00DF3151" w:rsidRPr="00896236" w:rsidRDefault="00DF3151" w:rsidP="00896236">
      <w:pPr>
        <w:spacing w:after="0" w:line="360" w:lineRule="auto"/>
        <w:jc w:val="both"/>
        <w:rPr>
          <w:rFonts w:cstheme="minorHAnsi"/>
          <w:sz w:val="24"/>
          <w:szCs w:val="24"/>
        </w:rPr>
      </w:pPr>
    </w:p>
    <w:p w14:paraId="225B8820" w14:textId="48A3D943" w:rsidR="00D035B0" w:rsidRPr="00896236" w:rsidRDefault="00D035B0" w:rsidP="00896236">
      <w:pPr>
        <w:spacing w:after="0" w:line="360" w:lineRule="auto"/>
        <w:jc w:val="both"/>
        <w:rPr>
          <w:rFonts w:eastAsiaTheme="majorEastAsia" w:cstheme="minorHAnsi"/>
          <w:b/>
          <w:bCs/>
          <w:sz w:val="24"/>
          <w:szCs w:val="24"/>
          <w:u w:val="single"/>
        </w:rPr>
      </w:pPr>
      <w:r w:rsidRPr="00896236">
        <w:rPr>
          <w:rFonts w:eastAsiaTheme="majorEastAsia" w:cstheme="minorHAnsi"/>
          <w:sz w:val="24"/>
          <w:szCs w:val="24"/>
        </w:rPr>
        <w:t xml:space="preserve">As noted by the </w:t>
      </w:r>
      <w:r w:rsidRPr="00896236">
        <w:rPr>
          <w:rFonts w:eastAsiaTheme="majorEastAsia" w:cstheme="minorHAnsi"/>
          <w:i/>
          <w:iCs/>
          <w:sz w:val="24"/>
          <w:szCs w:val="24"/>
        </w:rPr>
        <w:t>National Plan for Equity of Access to Higher Education 2015-2019</w:t>
      </w:r>
      <w:r w:rsidRPr="00896236">
        <w:rPr>
          <w:rFonts w:eastAsiaTheme="majorEastAsia" w:cstheme="minorHAnsi"/>
          <w:sz w:val="24"/>
          <w:szCs w:val="24"/>
        </w:rPr>
        <w:t xml:space="preserve"> “</w:t>
      </w:r>
      <w:r w:rsidRPr="00896236">
        <w:rPr>
          <w:rFonts w:cstheme="minorHAnsi"/>
          <w:sz w:val="24"/>
          <w:szCs w:val="24"/>
        </w:rPr>
        <w:t xml:space="preserve">as a country we have everything to gain and nothing to lose by increasing levels of participation in higher education”.  The TUI believes that higher education (HE) should be available, as a public good, to all who want it.  Traditionally some groups have been significantly under-represented amongst the HE student body.  Social inclusion means that there must be equity of access.  The TUI has long campaigned for the rights of those under-represented </w:t>
      </w:r>
      <w:r w:rsidR="003F2ED9" w:rsidRPr="00896236">
        <w:rPr>
          <w:rFonts w:cstheme="minorHAnsi"/>
          <w:sz w:val="24"/>
          <w:szCs w:val="24"/>
        </w:rPr>
        <w:t>groups and</w:t>
      </w:r>
      <w:r w:rsidRPr="00896236">
        <w:rPr>
          <w:rFonts w:cstheme="minorHAnsi"/>
          <w:sz w:val="24"/>
          <w:szCs w:val="24"/>
        </w:rPr>
        <w:t xml:space="preserve"> continues to do so.</w:t>
      </w:r>
    </w:p>
    <w:p w14:paraId="0E6923AC" w14:textId="77777777" w:rsidR="00D035B0" w:rsidRPr="00896236" w:rsidRDefault="00D035B0" w:rsidP="00896236">
      <w:pPr>
        <w:spacing w:after="0" w:line="360" w:lineRule="auto"/>
        <w:jc w:val="both"/>
        <w:rPr>
          <w:rFonts w:eastAsiaTheme="majorEastAsia" w:cstheme="minorHAnsi"/>
          <w:b/>
          <w:bCs/>
          <w:sz w:val="24"/>
          <w:szCs w:val="24"/>
          <w:u w:val="single"/>
        </w:rPr>
      </w:pPr>
    </w:p>
    <w:p w14:paraId="00D0C482" w14:textId="2C81E634" w:rsidR="00DF3151" w:rsidRPr="00896236" w:rsidRDefault="002C51C8" w:rsidP="00896236">
      <w:pPr>
        <w:spacing w:after="0" w:line="360" w:lineRule="auto"/>
        <w:jc w:val="both"/>
        <w:rPr>
          <w:rFonts w:eastAsiaTheme="majorEastAsia" w:cstheme="minorHAnsi"/>
          <w:b/>
          <w:bCs/>
          <w:sz w:val="24"/>
          <w:szCs w:val="24"/>
          <w:u w:val="single"/>
        </w:rPr>
      </w:pPr>
      <w:r w:rsidRPr="00896236">
        <w:rPr>
          <w:rFonts w:eastAsiaTheme="majorEastAsia" w:cstheme="minorHAnsi"/>
          <w:b/>
          <w:bCs/>
          <w:sz w:val="24"/>
          <w:szCs w:val="24"/>
          <w:u w:val="single"/>
        </w:rPr>
        <w:t>Backg</w:t>
      </w:r>
      <w:r w:rsidR="00DF3151" w:rsidRPr="00896236">
        <w:rPr>
          <w:rFonts w:eastAsiaTheme="majorEastAsia" w:cstheme="minorHAnsi"/>
          <w:b/>
          <w:bCs/>
          <w:sz w:val="24"/>
          <w:szCs w:val="24"/>
          <w:u w:val="single"/>
        </w:rPr>
        <w:t>round</w:t>
      </w:r>
    </w:p>
    <w:p w14:paraId="640F7150" w14:textId="308502D3" w:rsidR="00774CF1" w:rsidRPr="00896236" w:rsidRDefault="00DF3151" w:rsidP="00896236">
      <w:pPr>
        <w:spacing w:line="360" w:lineRule="auto"/>
        <w:jc w:val="both"/>
        <w:rPr>
          <w:rFonts w:cstheme="minorHAnsi"/>
          <w:sz w:val="24"/>
          <w:szCs w:val="24"/>
        </w:rPr>
      </w:pPr>
      <w:bookmarkStart w:id="0" w:name="_Hlk523404169"/>
      <w:r w:rsidRPr="00896236">
        <w:rPr>
          <w:rFonts w:eastAsiaTheme="majorEastAsia" w:cstheme="minorHAnsi"/>
          <w:bCs/>
          <w:sz w:val="24"/>
          <w:szCs w:val="24"/>
        </w:rPr>
        <w:t xml:space="preserve">Ireland has an internationally acknowledged, high-performing education system and a  respected teaching profession (Teaching Council, 2010; OECD, 2013; DES, 2018a; OECD, 2015a; NAPD, 2016; </w:t>
      </w:r>
      <w:proofErr w:type="spellStart"/>
      <w:r w:rsidRPr="00896236">
        <w:rPr>
          <w:rFonts w:eastAsiaTheme="majorEastAsia" w:cstheme="minorHAnsi"/>
          <w:bCs/>
          <w:sz w:val="24"/>
          <w:szCs w:val="24"/>
        </w:rPr>
        <w:t>Comhairle</w:t>
      </w:r>
      <w:proofErr w:type="spellEnd"/>
      <w:r w:rsidRPr="00896236">
        <w:rPr>
          <w:rFonts w:eastAsiaTheme="majorEastAsia" w:cstheme="minorHAnsi"/>
          <w:bCs/>
          <w:sz w:val="24"/>
          <w:szCs w:val="24"/>
        </w:rPr>
        <w:t xml:space="preserve"> </w:t>
      </w:r>
      <w:proofErr w:type="spellStart"/>
      <w:r w:rsidRPr="00896236">
        <w:rPr>
          <w:rFonts w:eastAsiaTheme="majorEastAsia" w:cstheme="minorHAnsi"/>
          <w:bCs/>
          <w:sz w:val="24"/>
          <w:szCs w:val="24"/>
        </w:rPr>
        <w:t>na</w:t>
      </w:r>
      <w:proofErr w:type="spellEnd"/>
      <w:r w:rsidRPr="00896236">
        <w:rPr>
          <w:rFonts w:eastAsiaTheme="majorEastAsia" w:cstheme="minorHAnsi"/>
          <w:bCs/>
          <w:sz w:val="24"/>
          <w:szCs w:val="24"/>
        </w:rPr>
        <w:t xml:space="preserve"> </w:t>
      </w:r>
      <w:proofErr w:type="spellStart"/>
      <w:r w:rsidRPr="00896236">
        <w:rPr>
          <w:rFonts w:eastAsiaTheme="majorEastAsia" w:cstheme="minorHAnsi"/>
          <w:bCs/>
          <w:sz w:val="24"/>
          <w:szCs w:val="24"/>
        </w:rPr>
        <w:t>nOg</w:t>
      </w:r>
      <w:proofErr w:type="spellEnd"/>
      <w:r w:rsidRPr="00896236">
        <w:rPr>
          <w:rFonts w:eastAsiaTheme="majorEastAsia" w:cstheme="minorHAnsi"/>
          <w:bCs/>
          <w:sz w:val="24"/>
          <w:szCs w:val="24"/>
        </w:rPr>
        <w:t xml:space="preserve">, 2017; Growing Up in Ireland, 2017; IPSOS MRBI Trust in the Professions Survey, 2017; Boyle, 2017; </w:t>
      </w:r>
      <w:r w:rsidR="00DE4CD9" w:rsidRPr="00896236">
        <w:rPr>
          <w:rFonts w:eastAsiaTheme="majorEastAsia" w:cstheme="minorHAnsi"/>
          <w:bCs/>
          <w:sz w:val="24"/>
          <w:szCs w:val="24"/>
        </w:rPr>
        <w:t xml:space="preserve">Boyle, 2019; </w:t>
      </w:r>
      <w:r w:rsidRPr="00896236">
        <w:rPr>
          <w:rFonts w:eastAsiaTheme="majorEastAsia" w:cstheme="minorHAnsi"/>
          <w:bCs/>
          <w:sz w:val="24"/>
          <w:szCs w:val="24"/>
        </w:rPr>
        <w:t>Scanlon &amp; McKenna, 2018;</w:t>
      </w:r>
      <w:r w:rsidRPr="00896236">
        <w:rPr>
          <w:rFonts w:eastAsia="BrandonGrotesque-Regular" w:cstheme="minorHAnsi"/>
          <w:sz w:val="24"/>
          <w:szCs w:val="24"/>
        </w:rPr>
        <w:t xml:space="preserve"> EU Commission/EACEA/Eurydice, 2018; Kantar Millward Brown, 2018; EU Commission, 2018; EU Commission, 2019a;  EU Commission, 2019b; Social Progress Initiative, 2018; United Nations Development Programme, 2018, Irish Survey of Student Engagement 2018; HEA, 2019</w:t>
      </w:r>
      <w:r w:rsidR="008D5F28" w:rsidRPr="00896236">
        <w:rPr>
          <w:rFonts w:eastAsia="BrandonGrotesque-Regular" w:cstheme="minorHAnsi"/>
          <w:sz w:val="24"/>
          <w:szCs w:val="24"/>
        </w:rPr>
        <w:t>a</w:t>
      </w:r>
      <w:r w:rsidRPr="00896236">
        <w:rPr>
          <w:rFonts w:eastAsia="BrandonGrotesque-Regular" w:cstheme="minorHAnsi"/>
          <w:sz w:val="24"/>
          <w:szCs w:val="24"/>
        </w:rPr>
        <w:t xml:space="preserve">; </w:t>
      </w:r>
      <w:proofErr w:type="spellStart"/>
      <w:r w:rsidRPr="00896236">
        <w:rPr>
          <w:rFonts w:eastAsia="BrandonGrotesque-Regular" w:cstheme="minorHAnsi"/>
          <w:sz w:val="24"/>
          <w:szCs w:val="24"/>
        </w:rPr>
        <w:lastRenderedPageBreak/>
        <w:t>Coolahan</w:t>
      </w:r>
      <w:proofErr w:type="spellEnd"/>
      <w:r w:rsidRPr="00896236">
        <w:rPr>
          <w:rFonts w:eastAsia="BrandonGrotesque-Regular" w:cstheme="minorHAnsi"/>
          <w:sz w:val="24"/>
          <w:szCs w:val="24"/>
        </w:rPr>
        <w:t xml:space="preserve">, 2017; </w:t>
      </w:r>
      <w:proofErr w:type="spellStart"/>
      <w:r w:rsidRPr="00896236">
        <w:rPr>
          <w:rFonts w:eastAsia="BrandonGrotesque-Regular" w:cstheme="minorHAnsi"/>
          <w:sz w:val="24"/>
          <w:szCs w:val="24"/>
        </w:rPr>
        <w:t>Eivers</w:t>
      </w:r>
      <w:proofErr w:type="spellEnd"/>
      <w:r w:rsidRPr="00896236">
        <w:rPr>
          <w:rFonts w:eastAsia="BrandonGrotesque-Regular" w:cstheme="minorHAnsi"/>
          <w:sz w:val="24"/>
          <w:szCs w:val="24"/>
        </w:rPr>
        <w:t>, 2019; CSO, 2019</w:t>
      </w:r>
      <w:r w:rsidR="0059735C" w:rsidRPr="00896236">
        <w:rPr>
          <w:rFonts w:eastAsia="BrandonGrotesque-Regular" w:cstheme="minorHAnsi"/>
          <w:sz w:val="24"/>
          <w:szCs w:val="24"/>
        </w:rPr>
        <w:t>; McKeown et al., 2019</w:t>
      </w:r>
      <w:r w:rsidR="00237348" w:rsidRPr="00896236">
        <w:rPr>
          <w:rFonts w:eastAsia="BrandonGrotesque-Regular" w:cstheme="minorHAnsi"/>
          <w:sz w:val="24"/>
          <w:szCs w:val="24"/>
        </w:rPr>
        <w:t>; CSO, 2020</w:t>
      </w:r>
      <w:r w:rsidR="003E48CA" w:rsidRPr="00896236">
        <w:rPr>
          <w:rFonts w:eastAsia="BrandonGrotesque-Regular" w:cstheme="minorHAnsi"/>
          <w:sz w:val="24"/>
          <w:szCs w:val="24"/>
        </w:rPr>
        <w:t>; OECD, 2020</w:t>
      </w:r>
      <w:r w:rsidR="002A4917" w:rsidRPr="00896236">
        <w:rPr>
          <w:rFonts w:eastAsia="BrandonGrotesque-Regular" w:cstheme="minorHAnsi"/>
          <w:sz w:val="24"/>
          <w:szCs w:val="24"/>
        </w:rPr>
        <w:t xml:space="preserve">; </w:t>
      </w:r>
      <w:proofErr w:type="spellStart"/>
      <w:r w:rsidR="002A4917" w:rsidRPr="00896236">
        <w:rPr>
          <w:rFonts w:eastAsia="BrandonGrotesque-Regular" w:cstheme="minorHAnsi"/>
          <w:sz w:val="24"/>
          <w:szCs w:val="24"/>
        </w:rPr>
        <w:t>Eurofound</w:t>
      </w:r>
      <w:proofErr w:type="spellEnd"/>
      <w:r w:rsidR="002A4917" w:rsidRPr="00896236">
        <w:rPr>
          <w:rFonts w:eastAsia="BrandonGrotesque-Regular" w:cstheme="minorHAnsi"/>
          <w:sz w:val="24"/>
          <w:szCs w:val="24"/>
        </w:rPr>
        <w:t>, 2020</w:t>
      </w:r>
      <w:r w:rsidR="00B62CE4" w:rsidRPr="00896236">
        <w:rPr>
          <w:rFonts w:eastAsia="BrandonGrotesque-Regular" w:cstheme="minorHAnsi"/>
          <w:sz w:val="24"/>
          <w:szCs w:val="24"/>
        </w:rPr>
        <w:t>; McNamara et al., 2020</w:t>
      </w:r>
      <w:r w:rsidR="00666E2F" w:rsidRPr="00896236">
        <w:rPr>
          <w:rFonts w:eastAsia="BrandonGrotesque-Regular" w:cstheme="minorHAnsi"/>
          <w:sz w:val="24"/>
          <w:szCs w:val="24"/>
        </w:rPr>
        <w:t>; Clark &amp; Kavanagh, 2021</w:t>
      </w:r>
      <w:r w:rsidRPr="00896236">
        <w:rPr>
          <w:rFonts w:eastAsiaTheme="majorEastAsia" w:cstheme="minorHAnsi"/>
          <w:bCs/>
          <w:sz w:val="24"/>
          <w:szCs w:val="24"/>
        </w:rPr>
        <w:t>) despite spending relatively little on education (OECD, 2015b; SJI, 2018, NERI, 2018, OECD, 2019a</w:t>
      </w:r>
      <w:r w:rsidR="00A86D58" w:rsidRPr="00896236">
        <w:rPr>
          <w:rFonts w:eastAsiaTheme="majorEastAsia" w:cstheme="minorHAnsi"/>
          <w:bCs/>
          <w:sz w:val="24"/>
          <w:szCs w:val="24"/>
        </w:rPr>
        <w:t>; UNDP, 2019</w:t>
      </w:r>
      <w:r w:rsidRPr="00896236">
        <w:rPr>
          <w:rFonts w:eastAsiaTheme="majorEastAsia" w:cstheme="minorHAnsi"/>
          <w:bCs/>
          <w:sz w:val="24"/>
          <w:szCs w:val="24"/>
        </w:rPr>
        <w:t xml:space="preserve">) and </w:t>
      </w:r>
      <w:r w:rsidR="00B46FE1" w:rsidRPr="00896236">
        <w:rPr>
          <w:rFonts w:eastAsiaTheme="majorEastAsia" w:cstheme="minorHAnsi"/>
          <w:bCs/>
          <w:sz w:val="24"/>
          <w:szCs w:val="24"/>
        </w:rPr>
        <w:t xml:space="preserve">experiencing </w:t>
      </w:r>
      <w:r w:rsidRPr="00896236">
        <w:rPr>
          <w:rFonts w:eastAsiaTheme="majorEastAsia" w:cstheme="minorHAnsi"/>
          <w:bCs/>
          <w:sz w:val="24"/>
          <w:szCs w:val="24"/>
        </w:rPr>
        <w:t>historic underinvestment (DES, 2018b).</w:t>
      </w:r>
      <w:bookmarkEnd w:id="0"/>
      <w:r w:rsidRPr="00896236">
        <w:rPr>
          <w:rFonts w:eastAsiaTheme="majorEastAsia" w:cstheme="minorHAnsi"/>
          <w:bCs/>
          <w:sz w:val="24"/>
          <w:szCs w:val="24"/>
        </w:rPr>
        <w:t xml:space="preserve"> </w:t>
      </w:r>
      <w:r w:rsidR="003F2ED9" w:rsidRPr="00896236">
        <w:rPr>
          <w:rFonts w:cstheme="minorHAnsi"/>
          <w:sz w:val="24"/>
          <w:szCs w:val="24"/>
        </w:rPr>
        <w:t>Indeed,</w:t>
      </w:r>
      <w:r w:rsidR="00774CF1" w:rsidRPr="00896236">
        <w:rPr>
          <w:rFonts w:cstheme="minorHAnsi"/>
          <w:sz w:val="24"/>
          <w:szCs w:val="24"/>
        </w:rPr>
        <w:t xml:space="preserve"> citizen satisfaction with the education system in Ireland is the highest of any of 22 European countries studied </w:t>
      </w:r>
      <w:r w:rsidR="001267B0" w:rsidRPr="00896236">
        <w:rPr>
          <w:rFonts w:cstheme="minorHAnsi"/>
          <w:sz w:val="24"/>
          <w:szCs w:val="24"/>
        </w:rPr>
        <w:t xml:space="preserve">by </w:t>
      </w:r>
      <w:r w:rsidR="00774CF1" w:rsidRPr="00896236">
        <w:rPr>
          <w:rFonts w:cstheme="minorHAnsi"/>
          <w:sz w:val="24"/>
          <w:szCs w:val="24"/>
        </w:rPr>
        <w:t>Boyle</w:t>
      </w:r>
      <w:r w:rsidR="001267B0" w:rsidRPr="00896236">
        <w:rPr>
          <w:rFonts w:cstheme="minorHAnsi"/>
          <w:sz w:val="24"/>
          <w:szCs w:val="24"/>
        </w:rPr>
        <w:t xml:space="preserve"> (20</w:t>
      </w:r>
      <w:r w:rsidR="00774CF1" w:rsidRPr="00896236">
        <w:rPr>
          <w:rFonts w:cstheme="minorHAnsi"/>
          <w:sz w:val="24"/>
          <w:szCs w:val="24"/>
        </w:rPr>
        <w:t xml:space="preserve">18) whilst parent satisfaction with the Irish education system was the </w:t>
      </w:r>
      <w:r w:rsidR="003F2ED9" w:rsidRPr="00896236">
        <w:rPr>
          <w:rFonts w:cstheme="minorHAnsi"/>
          <w:sz w:val="24"/>
          <w:szCs w:val="24"/>
        </w:rPr>
        <w:t>second highest</w:t>
      </w:r>
      <w:r w:rsidR="00774CF1" w:rsidRPr="00896236">
        <w:rPr>
          <w:rFonts w:cstheme="minorHAnsi"/>
          <w:sz w:val="24"/>
          <w:szCs w:val="24"/>
        </w:rPr>
        <w:t xml:space="preserve"> out of fifty-six countries </w:t>
      </w:r>
      <w:r w:rsidR="001267B0" w:rsidRPr="00896236">
        <w:rPr>
          <w:rFonts w:cstheme="minorHAnsi"/>
          <w:sz w:val="24"/>
          <w:szCs w:val="24"/>
        </w:rPr>
        <w:t xml:space="preserve">in </w:t>
      </w:r>
      <w:r w:rsidR="00774CF1" w:rsidRPr="00896236">
        <w:rPr>
          <w:rFonts w:cstheme="minorHAnsi"/>
          <w:sz w:val="24"/>
          <w:szCs w:val="24"/>
        </w:rPr>
        <w:t xml:space="preserve">Clerkin et al. </w:t>
      </w:r>
      <w:r w:rsidR="001267B0" w:rsidRPr="00896236">
        <w:rPr>
          <w:rFonts w:cstheme="minorHAnsi"/>
          <w:sz w:val="24"/>
          <w:szCs w:val="24"/>
        </w:rPr>
        <w:t>(</w:t>
      </w:r>
      <w:r w:rsidR="00774CF1" w:rsidRPr="00896236">
        <w:rPr>
          <w:rFonts w:cstheme="minorHAnsi"/>
          <w:sz w:val="24"/>
          <w:szCs w:val="24"/>
        </w:rPr>
        <w:t>2020).</w:t>
      </w:r>
    </w:p>
    <w:p w14:paraId="3F7AEBD8" w14:textId="77777777" w:rsidR="00774CF1" w:rsidRPr="00896236" w:rsidRDefault="00774CF1" w:rsidP="00896236">
      <w:pPr>
        <w:spacing w:line="360" w:lineRule="auto"/>
        <w:jc w:val="both"/>
        <w:rPr>
          <w:rFonts w:cstheme="minorHAnsi"/>
          <w:sz w:val="24"/>
          <w:szCs w:val="24"/>
        </w:rPr>
      </w:pPr>
    </w:p>
    <w:p w14:paraId="69B6A458" w14:textId="65105892" w:rsidR="00DF3151" w:rsidRPr="00896236" w:rsidRDefault="00DF3151" w:rsidP="00896236">
      <w:pPr>
        <w:spacing w:line="360" w:lineRule="auto"/>
        <w:jc w:val="both"/>
        <w:rPr>
          <w:rFonts w:cstheme="minorHAnsi"/>
          <w:sz w:val="24"/>
          <w:szCs w:val="24"/>
        </w:rPr>
      </w:pPr>
      <w:r w:rsidRPr="00896236">
        <w:rPr>
          <w:rFonts w:cstheme="minorHAnsi"/>
          <w:sz w:val="24"/>
          <w:szCs w:val="24"/>
        </w:rPr>
        <w:t>It is also worthwhile noting that 2019 data (OECD, 2019b) shows that both citizen satisfaction with the education system, and the economic return to the taxpayer of investment in education, are both extraordinarily high in Ireland compared to international norms.  An Ipsos MRBI survey in 2019 found extraordinarily high levels of public trust in teachers, much higher than for journalists, Gardai, civil servants, politicians, business leaders, social media influencers, bankers or even the “ordinary person in the street” (Irish Times January 31</w:t>
      </w:r>
      <w:r w:rsidRPr="00896236">
        <w:rPr>
          <w:rFonts w:cstheme="minorHAnsi"/>
          <w:sz w:val="24"/>
          <w:szCs w:val="24"/>
          <w:vertAlign w:val="superscript"/>
        </w:rPr>
        <w:t>st</w:t>
      </w:r>
      <w:r w:rsidR="003F2ED9" w:rsidRPr="00896236">
        <w:rPr>
          <w:rFonts w:cstheme="minorHAnsi"/>
          <w:sz w:val="24"/>
          <w:szCs w:val="24"/>
        </w:rPr>
        <w:t>, 2019</w:t>
      </w:r>
      <w:r w:rsidRPr="00896236">
        <w:rPr>
          <w:rFonts w:cstheme="minorHAnsi"/>
          <w:sz w:val="24"/>
          <w:szCs w:val="24"/>
        </w:rPr>
        <w:t>).</w:t>
      </w:r>
      <w:r w:rsidR="000737B9" w:rsidRPr="00896236">
        <w:rPr>
          <w:rFonts w:cstheme="minorHAnsi"/>
          <w:sz w:val="24"/>
          <w:szCs w:val="24"/>
        </w:rPr>
        <w:t xml:space="preserve">  </w:t>
      </w:r>
      <w:bookmarkStart w:id="1" w:name="_Hlk47014882"/>
      <w:r w:rsidR="000737B9" w:rsidRPr="00896236">
        <w:rPr>
          <w:rFonts w:cstheme="minorHAnsi"/>
          <w:sz w:val="24"/>
          <w:szCs w:val="24"/>
        </w:rPr>
        <w:t>ESRI (2020) found very high levels of trust of young people in the Irish education system.</w:t>
      </w:r>
    </w:p>
    <w:bookmarkEnd w:id="1"/>
    <w:p w14:paraId="1ECBACDF" w14:textId="77777777" w:rsidR="00DF3151" w:rsidRPr="00896236" w:rsidRDefault="00DF3151" w:rsidP="00896236">
      <w:pPr>
        <w:autoSpaceDE w:val="0"/>
        <w:autoSpaceDN w:val="0"/>
        <w:adjustRightInd w:val="0"/>
        <w:spacing w:after="0" w:line="360" w:lineRule="auto"/>
        <w:jc w:val="both"/>
        <w:rPr>
          <w:rFonts w:eastAsiaTheme="majorEastAsia" w:cstheme="minorHAnsi"/>
          <w:bCs/>
          <w:sz w:val="24"/>
          <w:szCs w:val="24"/>
        </w:rPr>
      </w:pPr>
    </w:p>
    <w:p w14:paraId="66A7EEC0" w14:textId="263BF0EE" w:rsidR="00404331" w:rsidRPr="00896236" w:rsidRDefault="00DF3151" w:rsidP="00896236">
      <w:pPr>
        <w:pStyle w:val="PlainText"/>
        <w:spacing w:line="360" w:lineRule="auto"/>
        <w:jc w:val="both"/>
        <w:rPr>
          <w:rFonts w:asciiTheme="minorHAnsi" w:hAnsiTheme="minorHAnsi" w:cstheme="minorHAnsi"/>
          <w:sz w:val="24"/>
          <w:szCs w:val="24"/>
        </w:rPr>
      </w:pPr>
      <w:r w:rsidRPr="00896236">
        <w:rPr>
          <w:rFonts w:asciiTheme="minorHAnsi" w:hAnsiTheme="minorHAnsi" w:cstheme="minorHAnsi"/>
          <w:sz w:val="24"/>
          <w:szCs w:val="24"/>
        </w:rPr>
        <w:t>Ireland has a very young population (Eurostat, 2015</w:t>
      </w:r>
      <w:r w:rsidR="0021436E" w:rsidRPr="00896236">
        <w:rPr>
          <w:rFonts w:asciiTheme="minorHAnsi" w:hAnsiTheme="minorHAnsi" w:cstheme="minorHAnsi"/>
          <w:sz w:val="24"/>
          <w:szCs w:val="24"/>
        </w:rPr>
        <w:t>; Government of Ireland</w:t>
      </w:r>
      <w:r w:rsidR="008D5F28" w:rsidRPr="00896236">
        <w:rPr>
          <w:rFonts w:asciiTheme="minorHAnsi" w:hAnsiTheme="minorHAnsi" w:cstheme="minorHAnsi"/>
          <w:sz w:val="24"/>
          <w:szCs w:val="24"/>
        </w:rPr>
        <w:t>,</w:t>
      </w:r>
      <w:r w:rsidR="0021436E" w:rsidRPr="00896236">
        <w:rPr>
          <w:rFonts w:asciiTheme="minorHAnsi" w:hAnsiTheme="minorHAnsi" w:cstheme="minorHAnsi"/>
          <w:sz w:val="24"/>
          <w:szCs w:val="24"/>
        </w:rPr>
        <w:t xml:space="preserve"> 2019</w:t>
      </w:r>
      <w:r w:rsidR="000737B9" w:rsidRPr="00896236">
        <w:rPr>
          <w:rFonts w:asciiTheme="minorHAnsi" w:hAnsiTheme="minorHAnsi" w:cstheme="minorHAnsi"/>
          <w:sz w:val="24"/>
          <w:szCs w:val="24"/>
        </w:rPr>
        <w:t>; DCYA, 2020</w:t>
      </w:r>
      <w:r w:rsidRPr="00896236">
        <w:rPr>
          <w:rFonts w:asciiTheme="minorHAnsi" w:hAnsiTheme="minorHAnsi" w:cstheme="minorHAnsi"/>
          <w:sz w:val="24"/>
          <w:szCs w:val="24"/>
        </w:rPr>
        <w:t xml:space="preserve">).  In 2008, we had the second highest proportion of </w:t>
      </w:r>
      <w:r w:rsidR="003F2ED9" w:rsidRPr="00896236">
        <w:rPr>
          <w:rFonts w:asciiTheme="minorHAnsi" w:hAnsiTheme="minorHAnsi" w:cstheme="minorHAnsi"/>
          <w:sz w:val="24"/>
          <w:szCs w:val="24"/>
        </w:rPr>
        <w:t>10–14-year-olds</w:t>
      </w:r>
      <w:r w:rsidRPr="00896236">
        <w:rPr>
          <w:rFonts w:asciiTheme="minorHAnsi" w:hAnsiTheme="minorHAnsi" w:cstheme="minorHAnsi"/>
          <w:sz w:val="24"/>
          <w:szCs w:val="24"/>
        </w:rPr>
        <w:t xml:space="preserve"> in the European Union (CSO, 2009).  The high birth rate in Ireland (CSO, 2017; Eurostat, 2017</w:t>
      </w:r>
      <w:r w:rsidR="0021436E" w:rsidRPr="00896236">
        <w:rPr>
          <w:rFonts w:asciiTheme="minorHAnsi" w:hAnsiTheme="minorHAnsi" w:cstheme="minorHAnsi"/>
          <w:sz w:val="24"/>
          <w:szCs w:val="24"/>
        </w:rPr>
        <w:t>; Government of Ireland, 2019</w:t>
      </w:r>
      <w:r w:rsidRPr="00896236">
        <w:rPr>
          <w:rFonts w:asciiTheme="minorHAnsi" w:hAnsiTheme="minorHAnsi" w:cstheme="minorHAnsi"/>
          <w:sz w:val="24"/>
          <w:szCs w:val="24"/>
        </w:rPr>
        <w:t>) indicates that the population of young people is likely to remain high for the foreseeable future</w:t>
      </w:r>
      <w:r w:rsidR="00372CB1" w:rsidRPr="00896236">
        <w:rPr>
          <w:rFonts w:asciiTheme="minorHAnsi" w:hAnsiTheme="minorHAnsi" w:cstheme="minorHAnsi"/>
          <w:sz w:val="24"/>
          <w:szCs w:val="24"/>
        </w:rPr>
        <w:t xml:space="preserve">. </w:t>
      </w:r>
      <w:r w:rsidRPr="00896236">
        <w:rPr>
          <w:rFonts w:asciiTheme="minorHAnsi" w:hAnsiTheme="minorHAnsi" w:cstheme="minorHAnsi"/>
          <w:sz w:val="24"/>
          <w:szCs w:val="24"/>
        </w:rPr>
        <w:t xml:space="preserve"> </w:t>
      </w:r>
      <w:bookmarkStart w:id="2" w:name="_Hlk71640939"/>
      <w:r w:rsidR="00A02D26" w:rsidRPr="00896236">
        <w:rPr>
          <w:rFonts w:asciiTheme="minorHAnsi" w:hAnsiTheme="minorHAnsi" w:cstheme="minorHAnsi"/>
          <w:sz w:val="24"/>
          <w:szCs w:val="24"/>
        </w:rPr>
        <w:t>“Full time enrolments in third level institutions have grown substantially over the past 10 years rising from 138,319 in 2007 to 183,642 in 2017, an increase of 32.8 per cent” (DES, 2018</w:t>
      </w:r>
      <w:r w:rsidR="008D5F28" w:rsidRPr="00896236">
        <w:rPr>
          <w:rFonts w:asciiTheme="minorHAnsi" w:hAnsiTheme="minorHAnsi" w:cstheme="minorHAnsi"/>
          <w:sz w:val="24"/>
          <w:szCs w:val="24"/>
        </w:rPr>
        <w:t>c</w:t>
      </w:r>
      <w:r w:rsidR="00A02D26" w:rsidRPr="00896236">
        <w:rPr>
          <w:rFonts w:asciiTheme="minorHAnsi" w:hAnsiTheme="minorHAnsi" w:cstheme="minorHAnsi"/>
          <w:sz w:val="24"/>
          <w:szCs w:val="24"/>
        </w:rPr>
        <w:t>:</w:t>
      </w:r>
      <w:r w:rsidR="00C42293">
        <w:rPr>
          <w:rFonts w:asciiTheme="minorHAnsi" w:hAnsiTheme="minorHAnsi" w:cstheme="minorHAnsi"/>
          <w:sz w:val="24"/>
          <w:szCs w:val="24"/>
        </w:rPr>
        <w:t xml:space="preserve"> </w:t>
      </w:r>
      <w:r w:rsidR="00A02D26" w:rsidRPr="00896236">
        <w:rPr>
          <w:rFonts w:asciiTheme="minorHAnsi" w:hAnsiTheme="minorHAnsi" w:cstheme="minorHAnsi"/>
          <w:sz w:val="24"/>
          <w:szCs w:val="24"/>
        </w:rPr>
        <w:t xml:space="preserve">4). </w:t>
      </w:r>
      <w:r w:rsidR="00DB478A" w:rsidRPr="00896236">
        <w:rPr>
          <w:rFonts w:asciiTheme="minorHAnsi" w:hAnsiTheme="minorHAnsi" w:cstheme="minorHAnsi"/>
          <w:sz w:val="24"/>
          <w:szCs w:val="24"/>
        </w:rPr>
        <w:t xml:space="preserve">The latest projections are that numbers in </w:t>
      </w:r>
      <w:r w:rsidR="00A02D26" w:rsidRPr="00896236">
        <w:rPr>
          <w:rFonts w:asciiTheme="minorHAnsi" w:hAnsiTheme="minorHAnsi" w:cstheme="minorHAnsi"/>
          <w:sz w:val="24"/>
          <w:szCs w:val="24"/>
        </w:rPr>
        <w:t>higher education</w:t>
      </w:r>
      <w:r w:rsidR="00DB478A" w:rsidRPr="00896236">
        <w:rPr>
          <w:rFonts w:asciiTheme="minorHAnsi" w:hAnsiTheme="minorHAnsi" w:cstheme="minorHAnsi"/>
          <w:sz w:val="24"/>
          <w:szCs w:val="24"/>
        </w:rPr>
        <w:t xml:space="preserve"> will peak at </w:t>
      </w:r>
      <w:r w:rsidR="00A02D26" w:rsidRPr="00896236">
        <w:rPr>
          <w:rFonts w:asciiTheme="minorHAnsi" w:hAnsiTheme="minorHAnsi" w:cstheme="minorHAnsi"/>
          <w:sz w:val="24"/>
          <w:szCs w:val="24"/>
        </w:rPr>
        <w:t>up to 242,000</w:t>
      </w:r>
      <w:r w:rsidR="00DB478A" w:rsidRPr="00896236">
        <w:rPr>
          <w:rFonts w:asciiTheme="minorHAnsi" w:hAnsiTheme="minorHAnsi" w:cstheme="minorHAnsi"/>
          <w:sz w:val="24"/>
          <w:szCs w:val="24"/>
        </w:rPr>
        <w:t xml:space="preserve"> in 20</w:t>
      </w:r>
      <w:r w:rsidR="00A02D26" w:rsidRPr="00896236">
        <w:rPr>
          <w:rFonts w:asciiTheme="minorHAnsi" w:hAnsiTheme="minorHAnsi" w:cstheme="minorHAnsi"/>
          <w:sz w:val="24"/>
          <w:szCs w:val="24"/>
        </w:rPr>
        <w:t>31</w:t>
      </w:r>
      <w:r w:rsidR="00DB478A" w:rsidRPr="00896236">
        <w:rPr>
          <w:rFonts w:asciiTheme="minorHAnsi" w:hAnsiTheme="minorHAnsi" w:cstheme="minorHAnsi"/>
          <w:sz w:val="24"/>
          <w:szCs w:val="24"/>
        </w:rPr>
        <w:t xml:space="preserve"> (</w:t>
      </w:r>
      <w:r w:rsidR="00A02D26" w:rsidRPr="00896236">
        <w:rPr>
          <w:rFonts w:asciiTheme="minorHAnsi" w:hAnsiTheme="minorHAnsi" w:cstheme="minorHAnsi"/>
          <w:sz w:val="24"/>
          <w:szCs w:val="24"/>
        </w:rPr>
        <w:t>DES, 2018d</w:t>
      </w:r>
      <w:r w:rsidR="00DB478A" w:rsidRPr="00896236">
        <w:rPr>
          <w:rFonts w:asciiTheme="minorHAnsi" w:hAnsiTheme="minorHAnsi" w:cstheme="minorHAnsi"/>
          <w:sz w:val="24"/>
          <w:szCs w:val="24"/>
        </w:rPr>
        <w:t xml:space="preserve">).  </w:t>
      </w:r>
      <w:bookmarkEnd w:id="2"/>
    </w:p>
    <w:p w14:paraId="01651624" w14:textId="77777777" w:rsidR="00F46C7F" w:rsidRPr="00896236" w:rsidRDefault="00F46C7F" w:rsidP="00896236">
      <w:pPr>
        <w:pStyle w:val="PlainText"/>
        <w:spacing w:line="360" w:lineRule="auto"/>
        <w:jc w:val="both"/>
        <w:rPr>
          <w:rFonts w:asciiTheme="minorHAnsi" w:hAnsiTheme="minorHAnsi" w:cstheme="minorHAnsi"/>
          <w:sz w:val="24"/>
          <w:szCs w:val="24"/>
        </w:rPr>
      </w:pPr>
    </w:p>
    <w:p w14:paraId="60AEA336" w14:textId="1475AC71" w:rsidR="00404331" w:rsidRPr="00896236" w:rsidRDefault="00404331" w:rsidP="00896236">
      <w:pPr>
        <w:pStyle w:val="PlainText"/>
        <w:spacing w:line="360" w:lineRule="auto"/>
        <w:jc w:val="both"/>
        <w:rPr>
          <w:rFonts w:asciiTheme="minorHAnsi" w:hAnsiTheme="minorHAnsi" w:cstheme="minorHAnsi"/>
          <w:sz w:val="24"/>
          <w:szCs w:val="24"/>
        </w:rPr>
      </w:pPr>
      <w:r w:rsidRPr="00896236">
        <w:rPr>
          <w:rFonts w:asciiTheme="minorHAnsi" w:hAnsiTheme="minorHAnsi" w:cstheme="minorHAnsi"/>
          <w:sz w:val="24"/>
          <w:szCs w:val="24"/>
        </w:rPr>
        <w:t>The proportion of full-time academics to students in higher education in Ireland was 19.88:1 in 2013/14 but 20.78:1 in 2016/17 (parliamentary answer by Minister Bruton 14</w:t>
      </w:r>
      <w:r w:rsidRPr="00896236">
        <w:rPr>
          <w:rFonts w:asciiTheme="minorHAnsi" w:hAnsiTheme="minorHAnsi" w:cstheme="minorHAnsi"/>
          <w:sz w:val="24"/>
          <w:szCs w:val="24"/>
          <w:vertAlign w:val="superscript"/>
        </w:rPr>
        <w:t>th</w:t>
      </w:r>
      <w:r w:rsidRPr="00896236">
        <w:rPr>
          <w:rFonts w:asciiTheme="minorHAnsi" w:hAnsiTheme="minorHAnsi" w:cstheme="minorHAnsi"/>
          <w:sz w:val="24"/>
          <w:szCs w:val="24"/>
        </w:rPr>
        <w:t xml:space="preserve"> Dec 2017).</w:t>
      </w:r>
    </w:p>
    <w:p w14:paraId="02422684" w14:textId="04A9A303" w:rsidR="00DF3151" w:rsidRPr="00896236" w:rsidRDefault="00DB478A" w:rsidP="00896236">
      <w:pPr>
        <w:spacing w:after="0" w:line="360" w:lineRule="auto"/>
        <w:jc w:val="both"/>
        <w:rPr>
          <w:rFonts w:cstheme="minorHAnsi"/>
          <w:sz w:val="24"/>
          <w:szCs w:val="24"/>
        </w:rPr>
      </w:pPr>
      <w:r w:rsidRPr="00896236">
        <w:rPr>
          <w:rFonts w:cstheme="minorHAnsi"/>
          <w:sz w:val="24"/>
          <w:szCs w:val="24"/>
        </w:rPr>
        <w:t xml:space="preserve">In </w:t>
      </w:r>
      <w:r w:rsidR="00DF3151" w:rsidRPr="00896236">
        <w:rPr>
          <w:rFonts w:cstheme="minorHAnsi"/>
          <w:sz w:val="24"/>
          <w:szCs w:val="24"/>
        </w:rPr>
        <w:t xml:space="preserve">this context, it is not sufficient to suggest that a world-class child centred society can be achieved with inadequate resources of time, </w:t>
      </w:r>
      <w:proofErr w:type="gramStart"/>
      <w:r w:rsidR="00DF3151" w:rsidRPr="00896236">
        <w:rPr>
          <w:rFonts w:cstheme="minorHAnsi"/>
          <w:sz w:val="24"/>
          <w:szCs w:val="24"/>
        </w:rPr>
        <w:t>money</w:t>
      </w:r>
      <w:proofErr w:type="gramEnd"/>
      <w:r w:rsidR="00DF3151" w:rsidRPr="00896236">
        <w:rPr>
          <w:rFonts w:cstheme="minorHAnsi"/>
          <w:sz w:val="24"/>
          <w:szCs w:val="24"/>
        </w:rPr>
        <w:t xml:space="preserve"> or personnel.  </w:t>
      </w:r>
    </w:p>
    <w:p w14:paraId="638484BD" w14:textId="6DE522AB" w:rsidR="00372CB1" w:rsidRPr="00896236" w:rsidRDefault="00372CB1" w:rsidP="00896236">
      <w:pPr>
        <w:spacing w:after="0" w:line="360" w:lineRule="auto"/>
        <w:jc w:val="both"/>
        <w:rPr>
          <w:rFonts w:cstheme="minorHAnsi"/>
          <w:sz w:val="24"/>
          <w:szCs w:val="24"/>
        </w:rPr>
      </w:pPr>
    </w:p>
    <w:p w14:paraId="383004AE" w14:textId="056899A1" w:rsidR="00D1662A" w:rsidRPr="00896236" w:rsidRDefault="00D1662A" w:rsidP="00896236">
      <w:pPr>
        <w:spacing w:line="360" w:lineRule="auto"/>
        <w:jc w:val="both"/>
        <w:rPr>
          <w:rFonts w:cstheme="minorHAnsi"/>
          <w:b/>
          <w:bCs/>
          <w:sz w:val="24"/>
          <w:szCs w:val="24"/>
          <w:u w:val="single"/>
        </w:rPr>
      </w:pPr>
      <w:r w:rsidRPr="00896236">
        <w:rPr>
          <w:rFonts w:cstheme="minorHAnsi"/>
          <w:b/>
          <w:bCs/>
          <w:sz w:val="24"/>
          <w:szCs w:val="24"/>
          <w:u w:val="single"/>
        </w:rPr>
        <w:lastRenderedPageBreak/>
        <w:t>Access to</w:t>
      </w:r>
      <w:r w:rsidR="00273D34" w:rsidRPr="00896236">
        <w:rPr>
          <w:rFonts w:cstheme="minorHAnsi"/>
          <w:b/>
          <w:bCs/>
          <w:sz w:val="24"/>
          <w:szCs w:val="24"/>
          <w:u w:val="single"/>
        </w:rPr>
        <w:t xml:space="preserve"> Third Level </w:t>
      </w:r>
      <w:r w:rsidRPr="00896236">
        <w:rPr>
          <w:rFonts w:cstheme="minorHAnsi"/>
          <w:b/>
          <w:bCs/>
          <w:sz w:val="24"/>
          <w:szCs w:val="24"/>
          <w:u w:val="single"/>
        </w:rPr>
        <w:t>for Traditionally Under-Represented Groups</w:t>
      </w:r>
    </w:p>
    <w:p w14:paraId="547AFC36" w14:textId="3125BD1F" w:rsidR="00D035B0" w:rsidRPr="00896236" w:rsidRDefault="00D035B0" w:rsidP="00896236">
      <w:pPr>
        <w:shd w:val="clear" w:color="auto" w:fill="FFFFFF"/>
        <w:spacing w:after="240" w:line="360" w:lineRule="auto"/>
        <w:rPr>
          <w:rFonts w:eastAsia="Times New Roman" w:cstheme="minorHAnsi"/>
          <w:color w:val="000000"/>
          <w:sz w:val="24"/>
          <w:szCs w:val="24"/>
          <w:lang w:eastAsia="en-IE"/>
        </w:rPr>
      </w:pPr>
      <w:r w:rsidRPr="00896236">
        <w:rPr>
          <w:rFonts w:eastAsia="Times New Roman" w:cstheme="minorHAnsi"/>
          <w:color w:val="000000"/>
          <w:sz w:val="24"/>
          <w:szCs w:val="24"/>
          <w:lang w:eastAsia="en-IE"/>
        </w:rPr>
        <w:t>The six main target groups identified by the National Plan are:</w:t>
      </w:r>
    </w:p>
    <w:p w14:paraId="0D2A8C12" w14:textId="75FDEDCF" w:rsidR="00D035B0" w:rsidRPr="00896236" w:rsidRDefault="00D035B0" w:rsidP="00896236">
      <w:pPr>
        <w:numPr>
          <w:ilvl w:val="0"/>
          <w:numId w:val="47"/>
        </w:numPr>
        <w:shd w:val="clear" w:color="auto" w:fill="FFFFFF"/>
        <w:spacing w:after="120" w:line="360" w:lineRule="auto"/>
        <w:rPr>
          <w:rFonts w:eastAsia="Times New Roman" w:cstheme="minorHAnsi"/>
          <w:color w:val="000000"/>
          <w:sz w:val="24"/>
          <w:szCs w:val="24"/>
          <w:lang w:eastAsia="en-IE"/>
        </w:rPr>
      </w:pPr>
      <w:r w:rsidRPr="00896236">
        <w:rPr>
          <w:rFonts w:eastAsia="Times New Roman" w:cstheme="minorHAnsi"/>
          <w:color w:val="000000"/>
          <w:sz w:val="24"/>
          <w:szCs w:val="24"/>
          <w:lang w:eastAsia="en-IE"/>
        </w:rPr>
        <w:t xml:space="preserve">entrants from socio-economic groups that have low participation in higher </w:t>
      </w:r>
      <w:r w:rsidR="003F2ED9" w:rsidRPr="00896236">
        <w:rPr>
          <w:rFonts w:eastAsia="Times New Roman" w:cstheme="minorHAnsi"/>
          <w:color w:val="000000"/>
          <w:sz w:val="24"/>
          <w:szCs w:val="24"/>
          <w:lang w:eastAsia="en-IE"/>
        </w:rPr>
        <w:t>education.</w:t>
      </w:r>
    </w:p>
    <w:p w14:paraId="344C49F5" w14:textId="6FA0C4A6" w:rsidR="00D035B0" w:rsidRPr="00896236" w:rsidRDefault="00D035B0" w:rsidP="00896236">
      <w:pPr>
        <w:numPr>
          <w:ilvl w:val="0"/>
          <w:numId w:val="47"/>
        </w:numPr>
        <w:shd w:val="clear" w:color="auto" w:fill="FFFFFF"/>
        <w:spacing w:after="120" w:line="360" w:lineRule="auto"/>
        <w:rPr>
          <w:rFonts w:eastAsia="Times New Roman" w:cstheme="minorHAnsi"/>
          <w:color w:val="000000"/>
          <w:sz w:val="24"/>
          <w:szCs w:val="24"/>
          <w:lang w:eastAsia="en-IE"/>
        </w:rPr>
      </w:pPr>
      <w:r w:rsidRPr="00896236">
        <w:rPr>
          <w:rFonts w:eastAsia="Times New Roman" w:cstheme="minorHAnsi"/>
          <w:color w:val="000000"/>
          <w:sz w:val="24"/>
          <w:szCs w:val="24"/>
          <w:lang w:eastAsia="en-IE"/>
        </w:rPr>
        <w:t xml:space="preserve">first-time mature </w:t>
      </w:r>
      <w:r w:rsidR="003F2ED9" w:rsidRPr="00896236">
        <w:rPr>
          <w:rFonts w:eastAsia="Times New Roman" w:cstheme="minorHAnsi"/>
          <w:color w:val="000000"/>
          <w:sz w:val="24"/>
          <w:szCs w:val="24"/>
          <w:lang w:eastAsia="en-IE"/>
        </w:rPr>
        <w:t>students.</w:t>
      </w:r>
    </w:p>
    <w:p w14:paraId="6DBE176A" w14:textId="271F476C" w:rsidR="00D035B0" w:rsidRPr="00896236" w:rsidRDefault="00D035B0" w:rsidP="00896236">
      <w:pPr>
        <w:numPr>
          <w:ilvl w:val="0"/>
          <w:numId w:val="47"/>
        </w:numPr>
        <w:shd w:val="clear" w:color="auto" w:fill="FFFFFF"/>
        <w:spacing w:after="120" w:line="360" w:lineRule="auto"/>
        <w:rPr>
          <w:rFonts w:eastAsia="Times New Roman" w:cstheme="minorHAnsi"/>
          <w:color w:val="000000"/>
          <w:sz w:val="24"/>
          <w:szCs w:val="24"/>
          <w:lang w:eastAsia="en-IE"/>
        </w:rPr>
      </w:pPr>
      <w:r w:rsidRPr="00896236">
        <w:rPr>
          <w:rFonts w:eastAsia="Times New Roman" w:cstheme="minorHAnsi"/>
          <w:color w:val="000000"/>
          <w:sz w:val="24"/>
          <w:szCs w:val="24"/>
          <w:lang w:eastAsia="en-IE"/>
        </w:rPr>
        <w:t xml:space="preserve">students with </w:t>
      </w:r>
      <w:r w:rsidR="003F2ED9" w:rsidRPr="00896236">
        <w:rPr>
          <w:rFonts w:eastAsia="Times New Roman" w:cstheme="minorHAnsi"/>
          <w:color w:val="000000"/>
          <w:sz w:val="24"/>
          <w:szCs w:val="24"/>
          <w:lang w:eastAsia="en-IE"/>
        </w:rPr>
        <w:t>disabilities.</w:t>
      </w:r>
    </w:p>
    <w:p w14:paraId="30952E6D" w14:textId="0B8CD2D8" w:rsidR="00D035B0" w:rsidRPr="00896236" w:rsidRDefault="00D035B0" w:rsidP="00896236">
      <w:pPr>
        <w:numPr>
          <w:ilvl w:val="0"/>
          <w:numId w:val="47"/>
        </w:numPr>
        <w:shd w:val="clear" w:color="auto" w:fill="FFFFFF"/>
        <w:spacing w:after="120" w:line="360" w:lineRule="auto"/>
        <w:rPr>
          <w:rFonts w:eastAsia="Times New Roman" w:cstheme="minorHAnsi"/>
          <w:color w:val="000000"/>
          <w:sz w:val="24"/>
          <w:szCs w:val="24"/>
          <w:lang w:eastAsia="en-IE"/>
        </w:rPr>
      </w:pPr>
      <w:r w:rsidRPr="00896236">
        <w:rPr>
          <w:rFonts w:eastAsia="Times New Roman" w:cstheme="minorHAnsi"/>
          <w:color w:val="000000"/>
          <w:sz w:val="24"/>
          <w:szCs w:val="24"/>
          <w:lang w:eastAsia="en-IE"/>
        </w:rPr>
        <w:t xml:space="preserve">part-time/flexible </w:t>
      </w:r>
      <w:r w:rsidR="003F2ED9" w:rsidRPr="00896236">
        <w:rPr>
          <w:rFonts w:eastAsia="Times New Roman" w:cstheme="minorHAnsi"/>
          <w:color w:val="000000"/>
          <w:sz w:val="24"/>
          <w:szCs w:val="24"/>
          <w:lang w:eastAsia="en-IE"/>
        </w:rPr>
        <w:t>learners.</w:t>
      </w:r>
    </w:p>
    <w:p w14:paraId="6622DB3F" w14:textId="77777777" w:rsidR="00D035B0" w:rsidRPr="00896236" w:rsidRDefault="00D035B0" w:rsidP="00896236">
      <w:pPr>
        <w:numPr>
          <w:ilvl w:val="0"/>
          <w:numId w:val="47"/>
        </w:numPr>
        <w:shd w:val="clear" w:color="auto" w:fill="FFFFFF"/>
        <w:spacing w:after="120" w:line="360" w:lineRule="auto"/>
        <w:rPr>
          <w:rFonts w:eastAsia="Times New Roman" w:cstheme="minorHAnsi"/>
          <w:color w:val="000000"/>
          <w:sz w:val="24"/>
          <w:szCs w:val="24"/>
          <w:lang w:eastAsia="en-IE"/>
        </w:rPr>
      </w:pPr>
      <w:r w:rsidRPr="00896236">
        <w:rPr>
          <w:rFonts w:eastAsia="Times New Roman" w:cstheme="minorHAnsi"/>
          <w:color w:val="000000"/>
          <w:sz w:val="24"/>
          <w:szCs w:val="24"/>
          <w:lang w:eastAsia="en-IE"/>
        </w:rPr>
        <w:t>further education and training award holders; and</w:t>
      </w:r>
    </w:p>
    <w:p w14:paraId="6241DCF2" w14:textId="77777777" w:rsidR="00D035B0" w:rsidRPr="00896236" w:rsidRDefault="00D035B0" w:rsidP="00896236">
      <w:pPr>
        <w:numPr>
          <w:ilvl w:val="0"/>
          <w:numId w:val="47"/>
        </w:numPr>
        <w:shd w:val="clear" w:color="auto" w:fill="FFFFFF"/>
        <w:spacing w:after="120" w:line="360" w:lineRule="auto"/>
        <w:rPr>
          <w:rFonts w:eastAsia="Times New Roman" w:cstheme="minorHAnsi"/>
          <w:color w:val="000000"/>
          <w:sz w:val="24"/>
          <w:szCs w:val="24"/>
          <w:lang w:eastAsia="en-IE"/>
        </w:rPr>
      </w:pPr>
      <w:r w:rsidRPr="00896236">
        <w:rPr>
          <w:rFonts w:eastAsia="Times New Roman" w:cstheme="minorHAnsi"/>
          <w:color w:val="000000"/>
          <w:sz w:val="24"/>
          <w:szCs w:val="24"/>
          <w:lang w:eastAsia="en-IE"/>
        </w:rPr>
        <w:t>Irish Travellers.</w:t>
      </w:r>
    </w:p>
    <w:p w14:paraId="18DA5975" w14:textId="2C0C381B" w:rsidR="00D035B0" w:rsidRPr="00896236" w:rsidRDefault="00D035B0" w:rsidP="00896236">
      <w:pPr>
        <w:spacing w:line="360" w:lineRule="auto"/>
        <w:jc w:val="both"/>
        <w:rPr>
          <w:rFonts w:cstheme="minorHAnsi"/>
          <w:sz w:val="24"/>
          <w:szCs w:val="24"/>
        </w:rPr>
      </w:pPr>
      <w:r w:rsidRPr="00896236">
        <w:rPr>
          <w:rFonts w:cstheme="minorHAnsi"/>
          <w:sz w:val="24"/>
          <w:szCs w:val="24"/>
        </w:rPr>
        <w:t>As will be seen below, the IoT/TU sector has a well-deserved reputation for supporting a much higher proportion of students from these target groups t</w:t>
      </w:r>
      <w:r w:rsidR="008D5F28" w:rsidRPr="00896236">
        <w:rPr>
          <w:rFonts w:cstheme="minorHAnsi"/>
          <w:sz w:val="24"/>
          <w:szCs w:val="24"/>
        </w:rPr>
        <w:t>h</w:t>
      </w:r>
      <w:r w:rsidRPr="00896236">
        <w:rPr>
          <w:rFonts w:cstheme="minorHAnsi"/>
          <w:sz w:val="24"/>
          <w:szCs w:val="24"/>
        </w:rPr>
        <w:t xml:space="preserve">an the traditional universities.  However, we should all aim </w:t>
      </w:r>
      <w:r w:rsidR="008D5F28" w:rsidRPr="00896236">
        <w:rPr>
          <w:rFonts w:cstheme="minorHAnsi"/>
          <w:sz w:val="24"/>
          <w:szCs w:val="24"/>
        </w:rPr>
        <w:t>higher</w:t>
      </w:r>
      <w:r w:rsidRPr="00896236">
        <w:rPr>
          <w:rFonts w:cstheme="minorHAnsi"/>
          <w:sz w:val="24"/>
          <w:szCs w:val="24"/>
        </w:rPr>
        <w:t>.</w:t>
      </w:r>
    </w:p>
    <w:p w14:paraId="5982B396" w14:textId="77777777" w:rsidR="00D035B0" w:rsidRPr="00896236" w:rsidRDefault="00D035B0" w:rsidP="00896236">
      <w:pPr>
        <w:spacing w:line="360" w:lineRule="auto"/>
        <w:jc w:val="both"/>
        <w:rPr>
          <w:rFonts w:cstheme="minorHAnsi"/>
          <w:sz w:val="24"/>
          <w:szCs w:val="24"/>
        </w:rPr>
      </w:pPr>
    </w:p>
    <w:p w14:paraId="6CD859CC" w14:textId="42F9D4E1" w:rsidR="00D035B0" w:rsidRPr="00896236" w:rsidRDefault="00D035B0" w:rsidP="00896236">
      <w:pPr>
        <w:spacing w:line="360" w:lineRule="auto"/>
        <w:jc w:val="both"/>
        <w:rPr>
          <w:rFonts w:cstheme="minorHAnsi"/>
          <w:b/>
          <w:bCs/>
          <w:sz w:val="24"/>
          <w:szCs w:val="24"/>
          <w:u w:val="single"/>
        </w:rPr>
      </w:pPr>
      <w:r w:rsidRPr="00896236">
        <w:rPr>
          <w:rFonts w:cstheme="minorHAnsi"/>
          <w:b/>
          <w:bCs/>
          <w:sz w:val="24"/>
          <w:szCs w:val="24"/>
          <w:u w:val="single"/>
        </w:rPr>
        <w:t>Transition to Higher Education</w:t>
      </w:r>
    </w:p>
    <w:p w14:paraId="499DFD33" w14:textId="5CFCE48A" w:rsidR="00D1662A" w:rsidRPr="00896236" w:rsidRDefault="00273D34" w:rsidP="00896236">
      <w:pPr>
        <w:spacing w:line="360" w:lineRule="auto"/>
        <w:jc w:val="both"/>
        <w:rPr>
          <w:rFonts w:cstheme="minorHAnsi"/>
          <w:sz w:val="24"/>
          <w:szCs w:val="24"/>
        </w:rPr>
      </w:pPr>
      <w:r w:rsidRPr="00896236">
        <w:rPr>
          <w:rFonts w:cstheme="minorHAnsi"/>
          <w:sz w:val="24"/>
          <w:szCs w:val="24"/>
        </w:rPr>
        <w:t xml:space="preserve">Responsibility for supporting effective transition to higher education must be shared across the various levels of education and resourced accordingly. To this end, the TUI believes that the following merit particular consideration as actions that could be undertaken at third level. </w:t>
      </w:r>
    </w:p>
    <w:p w14:paraId="038BE3DD" w14:textId="28B14D1C" w:rsidR="00D1662A" w:rsidRPr="00896236" w:rsidRDefault="00273D34" w:rsidP="00896236">
      <w:pPr>
        <w:spacing w:line="360" w:lineRule="auto"/>
        <w:jc w:val="both"/>
        <w:rPr>
          <w:rFonts w:cstheme="minorHAnsi"/>
          <w:sz w:val="24"/>
          <w:szCs w:val="24"/>
          <w:u w:val="single"/>
        </w:rPr>
      </w:pPr>
      <w:r w:rsidRPr="00896236">
        <w:rPr>
          <w:rFonts w:cstheme="minorHAnsi"/>
          <w:sz w:val="24"/>
          <w:szCs w:val="24"/>
          <w:u w:val="single"/>
        </w:rPr>
        <w:t xml:space="preserve">Induction and Foundation Programmes </w:t>
      </w:r>
    </w:p>
    <w:p w14:paraId="653382E5" w14:textId="66992826" w:rsidR="00D1662A" w:rsidRPr="00896236" w:rsidRDefault="00273D34" w:rsidP="00896236">
      <w:pPr>
        <w:spacing w:line="360" w:lineRule="auto"/>
        <w:jc w:val="both"/>
        <w:rPr>
          <w:rFonts w:cstheme="minorHAnsi"/>
          <w:sz w:val="24"/>
          <w:szCs w:val="24"/>
        </w:rPr>
      </w:pPr>
      <w:r w:rsidRPr="00896236">
        <w:rPr>
          <w:rFonts w:cstheme="minorHAnsi"/>
          <w:sz w:val="24"/>
          <w:szCs w:val="24"/>
        </w:rPr>
        <w:t>Third level colleges currently provide some induction programmes to support the transition to higher education, but to a limited number of students and in a limited number of contexts. A broader range of such programmes should be available to all students throughout the first year in college and should address areas such as language skills, study skills, research skills and ICT skills. In addition, foundation modules in specific subject areas (</w:t>
      </w:r>
      <w:r w:rsidR="003F2ED9" w:rsidRPr="00896236">
        <w:rPr>
          <w:rFonts w:cstheme="minorHAnsi"/>
          <w:sz w:val="24"/>
          <w:szCs w:val="24"/>
        </w:rPr>
        <w:t>e.g.,</w:t>
      </w:r>
      <w:r w:rsidRPr="00896236">
        <w:rPr>
          <w:rFonts w:cstheme="minorHAnsi"/>
          <w:sz w:val="24"/>
          <w:szCs w:val="24"/>
        </w:rPr>
        <w:t xml:space="preserve"> science subjects, maths, and a language) should be provided for students who may need </w:t>
      </w:r>
      <w:r w:rsidR="003F2ED9" w:rsidRPr="00896236">
        <w:rPr>
          <w:rFonts w:cstheme="minorHAnsi"/>
          <w:sz w:val="24"/>
          <w:szCs w:val="24"/>
        </w:rPr>
        <w:t>support</w:t>
      </w:r>
      <w:r w:rsidRPr="00896236">
        <w:rPr>
          <w:rFonts w:cstheme="minorHAnsi"/>
          <w:sz w:val="24"/>
          <w:szCs w:val="24"/>
        </w:rPr>
        <w:t xml:space="preserve"> in making the transition to third level studies. In tandem, tutorial style support should be strengthened and expanded, especially in the first year at college, providing greater opportunities for </w:t>
      </w:r>
      <w:r w:rsidRPr="00896236">
        <w:rPr>
          <w:rFonts w:cstheme="minorHAnsi"/>
          <w:sz w:val="24"/>
          <w:szCs w:val="24"/>
        </w:rPr>
        <w:lastRenderedPageBreak/>
        <w:t xml:space="preserve">networking in small, more supportive groups and promoting easier access to academic staff and their advice or support. </w:t>
      </w:r>
    </w:p>
    <w:p w14:paraId="67AA16BD" w14:textId="77777777" w:rsidR="00D1662A" w:rsidRPr="00896236" w:rsidRDefault="00D1662A" w:rsidP="00896236">
      <w:pPr>
        <w:spacing w:line="360" w:lineRule="auto"/>
        <w:jc w:val="both"/>
        <w:rPr>
          <w:rFonts w:cstheme="minorHAnsi"/>
          <w:sz w:val="24"/>
          <w:szCs w:val="24"/>
        </w:rPr>
      </w:pPr>
    </w:p>
    <w:p w14:paraId="78BF0724" w14:textId="0C9C0A78" w:rsidR="00D1662A" w:rsidRPr="00896236" w:rsidRDefault="00273D34" w:rsidP="00896236">
      <w:pPr>
        <w:spacing w:line="360" w:lineRule="auto"/>
        <w:jc w:val="both"/>
        <w:rPr>
          <w:rFonts w:cstheme="minorHAnsi"/>
          <w:sz w:val="24"/>
          <w:szCs w:val="24"/>
        </w:rPr>
      </w:pPr>
      <w:r w:rsidRPr="00896236">
        <w:rPr>
          <w:rFonts w:cstheme="minorHAnsi"/>
          <w:sz w:val="24"/>
          <w:szCs w:val="24"/>
          <w:u w:val="single"/>
        </w:rPr>
        <w:t xml:space="preserve">Provision of General Initial Courses </w:t>
      </w:r>
      <w:r w:rsidR="00D035B0" w:rsidRPr="00896236">
        <w:rPr>
          <w:rFonts w:cstheme="minorHAnsi"/>
          <w:sz w:val="24"/>
          <w:szCs w:val="24"/>
          <w:u w:val="single"/>
        </w:rPr>
        <w:t>L</w:t>
      </w:r>
      <w:r w:rsidRPr="00896236">
        <w:rPr>
          <w:rFonts w:cstheme="minorHAnsi"/>
          <w:sz w:val="24"/>
          <w:szCs w:val="24"/>
          <w:u w:val="single"/>
        </w:rPr>
        <w:t>eading to Specialism</w:t>
      </w:r>
      <w:r w:rsidRPr="00896236">
        <w:rPr>
          <w:rFonts w:cstheme="minorHAnsi"/>
          <w:sz w:val="24"/>
          <w:szCs w:val="24"/>
        </w:rPr>
        <w:t xml:space="preserve"> </w:t>
      </w:r>
    </w:p>
    <w:p w14:paraId="192C8165" w14:textId="2C4C1B98" w:rsidR="00D1662A" w:rsidRPr="00896236" w:rsidRDefault="00273D34" w:rsidP="00896236">
      <w:pPr>
        <w:spacing w:line="360" w:lineRule="auto"/>
        <w:jc w:val="both"/>
        <w:rPr>
          <w:rFonts w:cstheme="minorHAnsi"/>
          <w:sz w:val="24"/>
          <w:szCs w:val="24"/>
        </w:rPr>
      </w:pPr>
      <w:r w:rsidRPr="00896236">
        <w:rPr>
          <w:rFonts w:cstheme="minorHAnsi"/>
          <w:sz w:val="24"/>
          <w:szCs w:val="24"/>
        </w:rPr>
        <w:t xml:space="preserve">There is a growing tendency for students to enrol in highly specialised courses upon entry to third level. Often this requires intense engagement with highly specialised material or subject matter in the first year of study, for which some may not be adequately prepared. Provision of broad-based programmes in the first year and, therefore, delaying specialisation until the second year may have merit in some instances, especially for courses of three or more years duration. Such an approach would facilitate a longer ‘transition period’, in which the student could become familiar with the demands of third level </w:t>
      </w:r>
      <w:r w:rsidR="003F2ED9" w:rsidRPr="00896236">
        <w:rPr>
          <w:rFonts w:cstheme="minorHAnsi"/>
          <w:sz w:val="24"/>
          <w:szCs w:val="24"/>
        </w:rPr>
        <w:t>and</w:t>
      </w:r>
      <w:r w:rsidRPr="00896236">
        <w:rPr>
          <w:rFonts w:cstheme="minorHAnsi"/>
          <w:sz w:val="24"/>
          <w:szCs w:val="24"/>
        </w:rPr>
        <w:t xml:space="preserve"> explore what subject specialism would best fit their interests and aptitudes. </w:t>
      </w:r>
      <w:r w:rsidR="00D1662A" w:rsidRPr="00896236">
        <w:rPr>
          <w:rFonts w:cstheme="minorHAnsi"/>
          <w:sz w:val="24"/>
          <w:szCs w:val="24"/>
        </w:rPr>
        <w:t xml:space="preserve">The </w:t>
      </w:r>
      <w:r w:rsidRPr="00896236">
        <w:rPr>
          <w:rFonts w:cstheme="minorHAnsi"/>
          <w:sz w:val="24"/>
          <w:szCs w:val="24"/>
        </w:rPr>
        <w:t xml:space="preserve">TUI accepts the fact that this approach may not be feasible where courses are of shorter duration (less than three years) and geared to very specific labour market skills. In such instances it urges that the induction and tutorial support be strengthened considerably as very often the students who take courses of shorter duration are those who need most support. </w:t>
      </w:r>
    </w:p>
    <w:p w14:paraId="73871146" w14:textId="77777777" w:rsidR="00D1662A" w:rsidRPr="00896236" w:rsidRDefault="00D1662A" w:rsidP="00896236">
      <w:pPr>
        <w:spacing w:line="360" w:lineRule="auto"/>
        <w:jc w:val="both"/>
        <w:rPr>
          <w:rFonts w:cstheme="minorHAnsi"/>
          <w:sz w:val="24"/>
          <w:szCs w:val="24"/>
        </w:rPr>
      </w:pPr>
    </w:p>
    <w:p w14:paraId="51463F4E" w14:textId="77777777" w:rsidR="00D1662A" w:rsidRPr="00896236" w:rsidRDefault="00273D34" w:rsidP="00896236">
      <w:pPr>
        <w:spacing w:line="360" w:lineRule="auto"/>
        <w:jc w:val="both"/>
        <w:rPr>
          <w:rFonts w:cstheme="minorHAnsi"/>
          <w:sz w:val="24"/>
          <w:szCs w:val="24"/>
          <w:u w:val="single"/>
        </w:rPr>
      </w:pPr>
      <w:r w:rsidRPr="00896236">
        <w:rPr>
          <w:rFonts w:cstheme="minorHAnsi"/>
          <w:sz w:val="24"/>
          <w:szCs w:val="24"/>
          <w:u w:val="single"/>
        </w:rPr>
        <w:t xml:space="preserve">Appropriate Supports to Facilitate Completion </w:t>
      </w:r>
    </w:p>
    <w:p w14:paraId="02972A53" w14:textId="274520DA" w:rsidR="00D1662A" w:rsidRPr="00896236" w:rsidRDefault="00273D34" w:rsidP="00896236">
      <w:pPr>
        <w:spacing w:line="360" w:lineRule="auto"/>
        <w:jc w:val="both"/>
        <w:rPr>
          <w:rFonts w:cstheme="minorHAnsi"/>
          <w:sz w:val="24"/>
          <w:szCs w:val="24"/>
        </w:rPr>
      </w:pPr>
      <w:r w:rsidRPr="00896236">
        <w:rPr>
          <w:rFonts w:cstheme="minorHAnsi"/>
          <w:sz w:val="24"/>
          <w:szCs w:val="24"/>
        </w:rPr>
        <w:t>In addition to students who enter higher education under access programmes, a significant number of entrants to third level colleges, particularly to the Institutes of Technology</w:t>
      </w:r>
      <w:r w:rsidR="00D1662A" w:rsidRPr="00896236">
        <w:rPr>
          <w:rFonts w:cstheme="minorHAnsi"/>
          <w:sz w:val="24"/>
          <w:szCs w:val="24"/>
        </w:rPr>
        <w:t xml:space="preserve"> and Technological Universities</w:t>
      </w:r>
      <w:r w:rsidRPr="00896236">
        <w:rPr>
          <w:rFonts w:cstheme="minorHAnsi"/>
          <w:sz w:val="24"/>
          <w:szCs w:val="24"/>
        </w:rPr>
        <w:t xml:space="preserve">, initially undertake courses at Levels 6 and 7 on the National Qualifications Framework. Many of these students, in addition to induction support and foundation programmes, may require considerable and sometimes customised support to enable them to complete. Higher education institutions need to be resourced adequately to provide and continue these supports. The absence of such supports will simply guarantee on-going and unnecessary attrition rates. </w:t>
      </w:r>
      <w:r w:rsidR="00D035B0" w:rsidRPr="00896236">
        <w:rPr>
          <w:rFonts w:cstheme="minorHAnsi"/>
          <w:sz w:val="24"/>
          <w:szCs w:val="24"/>
        </w:rPr>
        <w:t xml:space="preserve">Pastoral supports such as guidance counselling services </w:t>
      </w:r>
      <w:r w:rsidR="00BE3F22" w:rsidRPr="00896236">
        <w:rPr>
          <w:rFonts w:cstheme="minorHAnsi"/>
          <w:sz w:val="24"/>
          <w:szCs w:val="24"/>
        </w:rPr>
        <w:t>in both post-primary and tertiary institutions are vital here. Supports for students with disabilities are also essential.</w:t>
      </w:r>
    </w:p>
    <w:p w14:paraId="253679AB" w14:textId="77777777" w:rsidR="00D1662A" w:rsidRPr="00896236" w:rsidRDefault="00D1662A" w:rsidP="00896236">
      <w:pPr>
        <w:spacing w:line="360" w:lineRule="auto"/>
        <w:jc w:val="both"/>
        <w:rPr>
          <w:rFonts w:cstheme="minorHAnsi"/>
          <w:sz w:val="24"/>
          <w:szCs w:val="24"/>
        </w:rPr>
      </w:pPr>
    </w:p>
    <w:p w14:paraId="034EC93B" w14:textId="77777777" w:rsidR="00D1662A" w:rsidRPr="00896236" w:rsidRDefault="00273D34" w:rsidP="00896236">
      <w:pPr>
        <w:spacing w:line="360" w:lineRule="auto"/>
        <w:jc w:val="both"/>
        <w:rPr>
          <w:rFonts w:cstheme="minorHAnsi"/>
          <w:sz w:val="24"/>
          <w:szCs w:val="24"/>
          <w:u w:val="single"/>
        </w:rPr>
      </w:pPr>
      <w:r w:rsidRPr="00896236">
        <w:rPr>
          <w:rFonts w:cstheme="minorHAnsi"/>
          <w:sz w:val="24"/>
          <w:szCs w:val="24"/>
          <w:u w:val="single"/>
        </w:rPr>
        <w:lastRenderedPageBreak/>
        <w:t xml:space="preserve">Progression Pathways </w:t>
      </w:r>
    </w:p>
    <w:p w14:paraId="5BEE2FC7" w14:textId="3E0F02AC" w:rsidR="00D1662A" w:rsidRPr="00896236" w:rsidRDefault="00273D34" w:rsidP="00896236">
      <w:pPr>
        <w:spacing w:line="360" w:lineRule="auto"/>
        <w:jc w:val="both"/>
        <w:rPr>
          <w:rFonts w:cstheme="minorHAnsi"/>
          <w:sz w:val="24"/>
          <w:szCs w:val="24"/>
        </w:rPr>
      </w:pPr>
      <w:r w:rsidRPr="00896236">
        <w:rPr>
          <w:rFonts w:cstheme="minorHAnsi"/>
          <w:sz w:val="24"/>
          <w:szCs w:val="24"/>
        </w:rPr>
        <w:t xml:space="preserve">A major objective of public policy is that a culture of life-long learning be fostered and facilitated. Central to this is the clear identification of and proactive promotion of multiple progression paths into and within higher education. However, Ireland continues to rely heavily on direct progression to third level from post-primary education to populate colleges and universities. To date, insufficient progress has been made in relation to mapping and formalising alternative routes. In particular, </w:t>
      </w:r>
      <w:r w:rsidR="00BE3F22" w:rsidRPr="00896236">
        <w:rPr>
          <w:rFonts w:cstheme="minorHAnsi"/>
          <w:sz w:val="24"/>
          <w:szCs w:val="24"/>
        </w:rPr>
        <w:t xml:space="preserve">the </w:t>
      </w:r>
      <w:r w:rsidRPr="00896236">
        <w:rPr>
          <w:rFonts w:cstheme="minorHAnsi"/>
          <w:sz w:val="24"/>
          <w:szCs w:val="24"/>
        </w:rPr>
        <w:t xml:space="preserve">TUI believes the recognition of prior learning including experiential learning and routes from post-primary and the workplace, through further education to higher education need to be further developed. </w:t>
      </w:r>
      <w:r w:rsidR="00BE3F22" w:rsidRPr="00896236">
        <w:rPr>
          <w:rFonts w:cstheme="minorHAnsi"/>
          <w:sz w:val="24"/>
          <w:szCs w:val="24"/>
        </w:rPr>
        <w:t>The TUI hopes that the soon-to-be published NCCA report on Senior Cycle Review may be useful in this matter.</w:t>
      </w:r>
    </w:p>
    <w:p w14:paraId="69FAAF15" w14:textId="77777777" w:rsidR="00D1662A" w:rsidRPr="00896236" w:rsidRDefault="00D1662A" w:rsidP="00896236">
      <w:pPr>
        <w:spacing w:line="360" w:lineRule="auto"/>
        <w:jc w:val="both"/>
        <w:rPr>
          <w:rFonts w:cstheme="minorHAnsi"/>
          <w:sz w:val="24"/>
          <w:szCs w:val="24"/>
        </w:rPr>
      </w:pPr>
    </w:p>
    <w:p w14:paraId="43343D19" w14:textId="3D39E7F9" w:rsidR="00F46C7F" w:rsidRPr="00896236" w:rsidRDefault="00F46C7F" w:rsidP="00896236">
      <w:pPr>
        <w:spacing w:line="360" w:lineRule="auto"/>
        <w:jc w:val="both"/>
        <w:rPr>
          <w:rFonts w:cstheme="minorHAnsi"/>
          <w:b/>
          <w:bCs/>
          <w:sz w:val="24"/>
          <w:szCs w:val="24"/>
          <w:u w:val="single"/>
        </w:rPr>
      </w:pPr>
      <w:r w:rsidRPr="00896236">
        <w:rPr>
          <w:rFonts w:cstheme="minorHAnsi"/>
          <w:b/>
          <w:bCs/>
          <w:sz w:val="24"/>
          <w:szCs w:val="24"/>
          <w:u w:val="single"/>
        </w:rPr>
        <w:t xml:space="preserve">Review of Current Access </w:t>
      </w:r>
      <w:r w:rsidR="00836BCA" w:rsidRPr="00896236">
        <w:rPr>
          <w:rFonts w:cstheme="minorHAnsi"/>
          <w:b/>
          <w:bCs/>
          <w:sz w:val="24"/>
          <w:szCs w:val="24"/>
          <w:u w:val="single"/>
        </w:rPr>
        <w:t>P</w:t>
      </w:r>
      <w:r w:rsidRPr="00896236">
        <w:rPr>
          <w:rFonts w:cstheme="minorHAnsi"/>
          <w:b/>
          <w:bCs/>
          <w:sz w:val="24"/>
          <w:szCs w:val="24"/>
          <w:u w:val="single"/>
        </w:rPr>
        <w:t>rogrammes</w:t>
      </w:r>
    </w:p>
    <w:p w14:paraId="1A58638E" w14:textId="77777777" w:rsidR="00F46C7F" w:rsidRPr="00896236" w:rsidRDefault="00F46C7F" w:rsidP="00896236">
      <w:pPr>
        <w:spacing w:line="360" w:lineRule="auto"/>
        <w:jc w:val="both"/>
        <w:rPr>
          <w:rFonts w:cstheme="minorHAnsi"/>
          <w:sz w:val="24"/>
          <w:szCs w:val="24"/>
        </w:rPr>
      </w:pPr>
      <w:r w:rsidRPr="00896236">
        <w:rPr>
          <w:rFonts w:cstheme="minorHAnsi"/>
          <w:sz w:val="24"/>
          <w:szCs w:val="24"/>
        </w:rPr>
        <w:t>There are many excellent access programmes working in HE/FE and in community settings.  However, it would be helpful if the best aspects of each could be utilised by all.  Hence, the TUI calls for a review of all the programmes to ensure that all can learn from each other.  Such a review must also take account of the inadequate funding that is currently available to all access programmes.  Funding needs to be significantly increased.</w:t>
      </w:r>
    </w:p>
    <w:p w14:paraId="513FA94D" w14:textId="77777777" w:rsidR="00F46C7F" w:rsidRPr="00896236" w:rsidRDefault="00F46C7F" w:rsidP="00896236">
      <w:pPr>
        <w:spacing w:line="360" w:lineRule="auto"/>
        <w:jc w:val="both"/>
        <w:rPr>
          <w:rFonts w:cstheme="minorHAnsi"/>
          <w:sz w:val="24"/>
          <w:szCs w:val="24"/>
        </w:rPr>
      </w:pPr>
    </w:p>
    <w:p w14:paraId="2BF99E4F" w14:textId="4BF00013" w:rsidR="00D1662A" w:rsidRPr="00896236" w:rsidRDefault="00273D34" w:rsidP="00896236">
      <w:pPr>
        <w:spacing w:line="360" w:lineRule="auto"/>
        <w:jc w:val="both"/>
        <w:rPr>
          <w:rFonts w:cstheme="minorHAnsi"/>
          <w:b/>
          <w:bCs/>
          <w:sz w:val="24"/>
          <w:szCs w:val="24"/>
          <w:u w:val="single"/>
        </w:rPr>
      </w:pPr>
      <w:r w:rsidRPr="00896236">
        <w:rPr>
          <w:rFonts w:cstheme="minorHAnsi"/>
          <w:b/>
          <w:bCs/>
          <w:sz w:val="24"/>
          <w:szCs w:val="24"/>
          <w:u w:val="single"/>
        </w:rPr>
        <w:t xml:space="preserve">The Points System </w:t>
      </w:r>
    </w:p>
    <w:p w14:paraId="59B6DB19" w14:textId="6FCF95D8" w:rsidR="00D1662A" w:rsidRPr="00896236" w:rsidRDefault="00273D34" w:rsidP="00896236">
      <w:pPr>
        <w:spacing w:line="360" w:lineRule="auto"/>
        <w:jc w:val="both"/>
        <w:rPr>
          <w:rFonts w:cstheme="minorHAnsi"/>
          <w:sz w:val="24"/>
          <w:szCs w:val="24"/>
        </w:rPr>
      </w:pPr>
      <w:r w:rsidRPr="00896236">
        <w:rPr>
          <w:rFonts w:cstheme="minorHAnsi"/>
          <w:sz w:val="24"/>
          <w:szCs w:val="24"/>
        </w:rPr>
        <w:t xml:space="preserve">The points systems and associated dilemmas commanded little public debate in the past number of years. As a selection mechanism for higher education, a points system is arguably fit for purpose and has, at least, the appearance of fairness, </w:t>
      </w:r>
      <w:proofErr w:type="gramStart"/>
      <w:r w:rsidRPr="00896236">
        <w:rPr>
          <w:rFonts w:cstheme="minorHAnsi"/>
          <w:sz w:val="24"/>
          <w:szCs w:val="24"/>
        </w:rPr>
        <w:t>transparency</w:t>
      </w:r>
      <w:proofErr w:type="gramEnd"/>
      <w:r w:rsidRPr="00896236">
        <w:rPr>
          <w:rFonts w:cstheme="minorHAnsi"/>
          <w:sz w:val="24"/>
          <w:szCs w:val="24"/>
        </w:rPr>
        <w:t xml:space="preserve"> and consistency. However, the current points system, the external selection mechanism for entry to third level, now exercises a significant and distorting influence on how the post-primary curriculum is experienced. A focus on points, as opposed to student aptitude or preference, too often determines subject </w:t>
      </w:r>
      <w:proofErr w:type="gramStart"/>
      <w:r w:rsidRPr="00896236">
        <w:rPr>
          <w:rFonts w:cstheme="minorHAnsi"/>
          <w:sz w:val="24"/>
          <w:szCs w:val="24"/>
        </w:rPr>
        <w:t>choice</w:t>
      </w:r>
      <w:proofErr w:type="gramEnd"/>
      <w:r w:rsidRPr="00896236">
        <w:rPr>
          <w:rFonts w:cstheme="minorHAnsi"/>
          <w:sz w:val="24"/>
          <w:szCs w:val="24"/>
        </w:rPr>
        <w:t xml:space="preserve"> and constrains teaching and learning. Many policy makers and political leaders </w:t>
      </w:r>
      <w:proofErr w:type="gramStart"/>
      <w:r w:rsidRPr="00896236">
        <w:rPr>
          <w:rFonts w:cstheme="minorHAnsi"/>
          <w:sz w:val="24"/>
          <w:szCs w:val="24"/>
        </w:rPr>
        <w:t>have been were</w:t>
      </w:r>
      <w:proofErr w:type="gramEnd"/>
      <w:r w:rsidRPr="00896236">
        <w:rPr>
          <w:rFonts w:cstheme="minorHAnsi"/>
          <w:sz w:val="24"/>
          <w:szCs w:val="24"/>
        </w:rPr>
        <w:t xml:space="preserve"> muted on this issue, leaning on the recommendation of the Points Commission (over eleven years ago) that the points system should be retained as it is the ‘fairest’, most equitable and transparent method of selection for third level. This delayed </w:t>
      </w:r>
      <w:r w:rsidRPr="00896236">
        <w:rPr>
          <w:rFonts w:cstheme="minorHAnsi"/>
          <w:sz w:val="24"/>
          <w:szCs w:val="24"/>
        </w:rPr>
        <w:lastRenderedPageBreak/>
        <w:t xml:space="preserve">open and frank dialogue on the escalating negative </w:t>
      </w:r>
      <w:proofErr w:type="spellStart"/>
      <w:r w:rsidRPr="00896236">
        <w:rPr>
          <w:rFonts w:cstheme="minorHAnsi"/>
          <w:sz w:val="24"/>
          <w:szCs w:val="24"/>
        </w:rPr>
        <w:t>affects</w:t>
      </w:r>
      <w:proofErr w:type="spellEnd"/>
      <w:r w:rsidRPr="00896236">
        <w:rPr>
          <w:rFonts w:cstheme="minorHAnsi"/>
          <w:sz w:val="24"/>
          <w:szCs w:val="24"/>
        </w:rPr>
        <w:t xml:space="preserve"> on the teaching and learning environment and the formation of young people. It deflected conversation away </w:t>
      </w:r>
      <w:r w:rsidR="008D5F28" w:rsidRPr="00896236">
        <w:rPr>
          <w:rFonts w:cstheme="minorHAnsi"/>
          <w:sz w:val="24"/>
          <w:szCs w:val="24"/>
        </w:rPr>
        <w:t xml:space="preserve">from </w:t>
      </w:r>
      <w:r w:rsidRPr="00896236">
        <w:rPr>
          <w:rFonts w:cstheme="minorHAnsi"/>
          <w:sz w:val="24"/>
          <w:szCs w:val="24"/>
        </w:rPr>
        <w:t xml:space="preserve">a very unhelpful outcome of the current system - the crude allocation of people into occupational slots and career trajectories that in many cases were unsuitable and not in keeping with natural aptitude and interest. Furthermore, it prevented on-going examination of a system that supported, albeit unintentionally, the emergence of manipulative practices in the alignment of points to </w:t>
      </w:r>
      <w:r w:rsidR="003F2ED9" w:rsidRPr="00896236">
        <w:rPr>
          <w:rFonts w:cstheme="minorHAnsi"/>
          <w:sz w:val="24"/>
          <w:szCs w:val="24"/>
        </w:rPr>
        <w:t>courses</w:t>
      </w:r>
      <w:r w:rsidRPr="00896236">
        <w:rPr>
          <w:rFonts w:cstheme="minorHAnsi"/>
          <w:sz w:val="24"/>
          <w:szCs w:val="24"/>
        </w:rPr>
        <w:t xml:space="preserve"> in particular colleges, making access to some courses unduly and unnecessarily competitive. Finally, but not least, it rendered inconspicuous how blind and indifferent a points system can be to the corrosive effects of socio-economic and inter-generational educational disadvantage on the attainment levels at Leaving Certificate of a significant minority of the </w:t>
      </w:r>
      <w:r w:rsidR="003F2ED9" w:rsidRPr="00896236">
        <w:rPr>
          <w:rFonts w:cstheme="minorHAnsi"/>
          <w:sz w:val="24"/>
          <w:szCs w:val="24"/>
        </w:rPr>
        <w:t>Second-Level</w:t>
      </w:r>
      <w:r w:rsidRPr="00896236">
        <w:rPr>
          <w:rFonts w:cstheme="minorHAnsi"/>
          <w:sz w:val="24"/>
          <w:szCs w:val="24"/>
        </w:rPr>
        <w:t xml:space="preserve"> cohort – students who do not even get to the start-line in the “points race”, so-called. Therefore, recent focussed attention by the Minister for Education and Skills and other key commentators and a general openness to exploring the desirability of and possibilities for change is welcome. </w:t>
      </w:r>
      <w:r w:rsidR="00D1662A" w:rsidRPr="00896236">
        <w:rPr>
          <w:rFonts w:cstheme="minorHAnsi"/>
          <w:sz w:val="24"/>
          <w:szCs w:val="24"/>
        </w:rPr>
        <w:t xml:space="preserve">The </w:t>
      </w:r>
      <w:r w:rsidRPr="00896236">
        <w:rPr>
          <w:rFonts w:cstheme="minorHAnsi"/>
          <w:sz w:val="24"/>
          <w:szCs w:val="24"/>
        </w:rPr>
        <w:t xml:space="preserve">TUI believes a rethink of the points system is not just desirable, but somewhat overdue and deserving of immediate action. It supports </w:t>
      </w:r>
      <w:r w:rsidR="00D1662A" w:rsidRPr="00896236">
        <w:rPr>
          <w:rFonts w:cstheme="minorHAnsi"/>
          <w:sz w:val="24"/>
          <w:szCs w:val="24"/>
        </w:rPr>
        <w:t>the recent announcement by Minister Harris of a combined CAO system for HE</w:t>
      </w:r>
      <w:r w:rsidR="00425AD7" w:rsidRPr="00896236">
        <w:rPr>
          <w:rFonts w:cstheme="minorHAnsi"/>
          <w:sz w:val="24"/>
          <w:szCs w:val="24"/>
        </w:rPr>
        <w:t>,</w:t>
      </w:r>
      <w:r w:rsidR="00D1662A" w:rsidRPr="00896236">
        <w:rPr>
          <w:rFonts w:cstheme="minorHAnsi"/>
          <w:sz w:val="24"/>
          <w:szCs w:val="24"/>
        </w:rPr>
        <w:t xml:space="preserve"> </w:t>
      </w:r>
      <w:proofErr w:type="gramStart"/>
      <w:r w:rsidR="00D1662A" w:rsidRPr="00896236">
        <w:rPr>
          <w:rFonts w:cstheme="minorHAnsi"/>
          <w:sz w:val="24"/>
          <w:szCs w:val="24"/>
        </w:rPr>
        <w:t>FE</w:t>
      </w:r>
      <w:proofErr w:type="gramEnd"/>
      <w:r w:rsidR="00425AD7" w:rsidRPr="00896236">
        <w:rPr>
          <w:rFonts w:cstheme="minorHAnsi"/>
          <w:sz w:val="24"/>
          <w:szCs w:val="24"/>
        </w:rPr>
        <w:t xml:space="preserve"> and apprenticeships</w:t>
      </w:r>
      <w:r w:rsidRPr="00896236">
        <w:rPr>
          <w:rFonts w:cstheme="minorHAnsi"/>
          <w:sz w:val="24"/>
          <w:szCs w:val="24"/>
        </w:rPr>
        <w:t xml:space="preserve">. </w:t>
      </w:r>
    </w:p>
    <w:p w14:paraId="7D77D29A" w14:textId="77777777" w:rsidR="00BE3F22" w:rsidRPr="00896236" w:rsidRDefault="00BE3F22" w:rsidP="00896236">
      <w:pPr>
        <w:spacing w:line="360" w:lineRule="auto"/>
        <w:jc w:val="both"/>
        <w:rPr>
          <w:rFonts w:cstheme="minorHAnsi"/>
          <w:sz w:val="24"/>
          <w:szCs w:val="24"/>
        </w:rPr>
      </w:pPr>
    </w:p>
    <w:p w14:paraId="6564B1BE" w14:textId="60E6487D" w:rsidR="00D1662A" w:rsidRPr="00896236" w:rsidRDefault="00D1662A" w:rsidP="00896236">
      <w:pPr>
        <w:spacing w:line="360" w:lineRule="auto"/>
        <w:jc w:val="both"/>
        <w:rPr>
          <w:rFonts w:cstheme="minorHAnsi"/>
          <w:sz w:val="24"/>
          <w:szCs w:val="24"/>
        </w:rPr>
      </w:pPr>
      <w:r w:rsidRPr="00896236">
        <w:rPr>
          <w:rFonts w:cstheme="minorHAnsi"/>
          <w:sz w:val="24"/>
          <w:szCs w:val="24"/>
        </w:rPr>
        <w:t xml:space="preserve">The </w:t>
      </w:r>
      <w:r w:rsidR="00273D34" w:rsidRPr="00896236">
        <w:rPr>
          <w:rFonts w:cstheme="minorHAnsi"/>
          <w:sz w:val="24"/>
          <w:szCs w:val="24"/>
        </w:rPr>
        <w:t xml:space="preserve">TUI favours </w:t>
      </w:r>
      <w:proofErr w:type="gramStart"/>
      <w:r w:rsidR="00273D34" w:rsidRPr="00896236">
        <w:rPr>
          <w:rFonts w:cstheme="minorHAnsi"/>
          <w:sz w:val="24"/>
          <w:szCs w:val="24"/>
        </w:rPr>
        <w:t>a number of</w:t>
      </w:r>
      <w:proofErr w:type="gramEnd"/>
      <w:r w:rsidR="00273D34" w:rsidRPr="00896236">
        <w:rPr>
          <w:rFonts w:cstheme="minorHAnsi"/>
          <w:sz w:val="24"/>
          <w:szCs w:val="24"/>
        </w:rPr>
        <w:t xml:space="preserve"> ideas and, in particular, suggests: </w:t>
      </w:r>
    </w:p>
    <w:p w14:paraId="76B44709" w14:textId="77777777" w:rsidR="00BE3F22" w:rsidRPr="00896236" w:rsidRDefault="00273D34" w:rsidP="00896236">
      <w:pPr>
        <w:spacing w:line="360" w:lineRule="auto"/>
        <w:jc w:val="both"/>
        <w:rPr>
          <w:rFonts w:cstheme="minorHAnsi"/>
          <w:sz w:val="24"/>
          <w:szCs w:val="24"/>
        </w:rPr>
      </w:pPr>
      <w:r w:rsidRPr="00896236">
        <w:rPr>
          <w:rFonts w:cstheme="minorHAnsi"/>
          <w:sz w:val="24"/>
          <w:szCs w:val="24"/>
        </w:rPr>
        <w:t xml:space="preserve">• Weighted points in Leaving Certificate subjects related to the discipline to be studied in third level, this weighting to be applied by the Higher Education Institute in accordance with a national protocol </w:t>
      </w:r>
    </w:p>
    <w:p w14:paraId="20B08993" w14:textId="78D74D10" w:rsidR="00D1662A" w:rsidRPr="00896236" w:rsidRDefault="00273D34" w:rsidP="00896236">
      <w:pPr>
        <w:spacing w:line="360" w:lineRule="auto"/>
        <w:jc w:val="both"/>
        <w:rPr>
          <w:rFonts w:cstheme="minorHAnsi"/>
          <w:sz w:val="24"/>
          <w:szCs w:val="24"/>
        </w:rPr>
      </w:pPr>
      <w:r w:rsidRPr="00896236">
        <w:rPr>
          <w:rFonts w:cstheme="minorHAnsi"/>
          <w:sz w:val="24"/>
          <w:szCs w:val="24"/>
        </w:rPr>
        <w:t xml:space="preserve">• Reduced number of bands within each grade at Leaving Certificate (referred to as reducing granularity of points by some), combined with random selection in some instances </w:t>
      </w:r>
    </w:p>
    <w:p w14:paraId="56C8F333" w14:textId="77777777" w:rsidR="00D1662A" w:rsidRPr="00896236" w:rsidRDefault="00273D34" w:rsidP="00896236">
      <w:pPr>
        <w:spacing w:line="360" w:lineRule="auto"/>
        <w:jc w:val="both"/>
        <w:rPr>
          <w:rFonts w:cstheme="minorHAnsi"/>
          <w:sz w:val="24"/>
          <w:szCs w:val="24"/>
        </w:rPr>
      </w:pPr>
      <w:r w:rsidRPr="00896236">
        <w:rPr>
          <w:rFonts w:cstheme="minorHAnsi"/>
          <w:sz w:val="24"/>
          <w:szCs w:val="24"/>
        </w:rPr>
        <w:t xml:space="preserve">• Threshold entry requirements for each undergraduate area (set by HEI in accordance with a national protocol), combined with supplementary testing and/or random selection and expansion of supplementary routes in some instances. </w:t>
      </w:r>
    </w:p>
    <w:p w14:paraId="4CD26641" w14:textId="77777777" w:rsidR="00D1662A" w:rsidRPr="00896236" w:rsidRDefault="00D1662A" w:rsidP="00896236">
      <w:pPr>
        <w:spacing w:line="360" w:lineRule="auto"/>
        <w:jc w:val="both"/>
        <w:rPr>
          <w:rFonts w:cstheme="minorHAnsi"/>
          <w:sz w:val="24"/>
          <w:szCs w:val="24"/>
        </w:rPr>
      </w:pPr>
    </w:p>
    <w:p w14:paraId="57C0D85D" w14:textId="7FADC450" w:rsidR="00273D34" w:rsidRPr="00896236" w:rsidRDefault="00D1662A" w:rsidP="00896236">
      <w:pPr>
        <w:spacing w:line="360" w:lineRule="auto"/>
        <w:jc w:val="both"/>
        <w:rPr>
          <w:rFonts w:cstheme="minorHAnsi"/>
          <w:b/>
          <w:bCs/>
          <w:sz w:val="24"/>
          <w:szCs w:val="24"/>
          <w:u w:val="single"/>
        </w:rPr>
      </w:pPr>
      <w:r w:rsidRPr="00896236">
        <w:rPr>
          <w:rFonts w:cstheme="minorHAnsi"/>
          <w:b/>
          <w:bCs/>
          <w:sz w:val="24"/>
          <w:szCs w:val="24"/>
          <w:u w:val="single"/>
        </w:rPr>
        <w:t>Senior Cycle Review</w:t>
      </w:r>
    </w:p>
    <w:p w14:paraId="1C39533C" w14:textId="1697A7B4" w:rsidR="00273D34" w:rsidRPr="00896236" w:rsidRDefault="00BE3F22" w:rsidP="00896236">
      <w:pPr>
        <w:spacing w:line="360" w:lineRule="auto"/>
        <w:jc w:val="both"/>
        <w:rPr>
          <w:rFonts w:cstheme="minorHAnsi"/>
          <w:sz w:val="24"/>
          <w:szCs w:val="24"/>
        </w:rPr>
      </w:pPr>
      <w:r w:rsidRPr="00896236">
        <w:rPr>
          <w:rFonts w:cstheme="minorHAnsi"/>
          <w:sz w:val="24"/>
          <w:szCs w:val="24"/>
        </w:rPr>
        <w:lastRenderedPageBreak/>
        <w:t>As noted above, the TUI hopes that the forthcoming report on Senior Cycle review will provide useful guidance in relation to progression pathways for students.  It will also hopefully provide greater visibility for vocational educational routes and courses thereby supporting students from under-represented groups to progress to FE and HE.</w:t>
      </w:r>
    </w:p>
    <w:p w14:paraId="452AD0C3" w14:textId="77777777" w:rsidR="00BE3F22" w:rsidRPr="00896236" w:rsidRDefault="00BE3F22" w:rsidP="00896236">
      <w:pPr>
        <w:spacing w:line="360" w:lineRule="auto"/>
        <w:jc w:val="both"/>
        <w:rPr>
          <w:rFonts w:cstheme="minorHAnsi"/>
          <w:sz w:val="24"/>
          <w:szCs w:val="24"/>
        </w:rPr>
      </w:pPr>
    </w:p>
    <w:p w14:paraId="489E3B8F" w14:textId="77777777" w:rsidR="008D5F28" w:rsidRPr="00896236" w:rsidRDefault="008D5F28" w:rsidP="00896236">
      <w:pPr>
        <w:spacing w:line="360" w:lineRule="auto"/>
        <w:jc w:val="both"/>
        <w:rPr>
          <w:rFonts w:cstheme="minorHAnsi"/>
          <w:b/>
          <w:bCs/>
          <w:sz w:val="24"/>
          <w:szCs w:val="24"/>
          <w:u w:val="single"/>
        </w:rPr>
      </w:pPr>
      <w:r w:rsidRPr="00896236">
        <w:rPr>
          <w:rFonts w:cstheme="minorHAnsi"/>
          <w:b/>
          <w:bCs/>
          <w:sz w:val="24"/>
          <w:szCs w:val="24"/>
          <w:u w:val="single"/>
        </w:rPr>
        <w:t>Apprenticeships</w:t>
      </w:r>
    </w:p>
    <w:p w14:paraId="3A0B4010" w14:textId="6A9E91BB" w:rsidR="008D5F28" w:rsidRPr="00896236" w:rsidRDefault="008D5F28" w:rsidP="00896236">
      <w:pPr>
        <w:spacing w:line="360" w:lineRule="auto"/>
        <w:jc w:val="both"/>
        <w:rPr>
          <w:rFonts w:cstheme="minorHAnsi"/>
          <w:sz w:val="24"/>
          <w:szCs w:val="24"/>
        </w:rPr>
      </w:pPr>
      <w:r w:rsidRPr="00896236">
        <w:rPr>
          <w:rFonts w:cstheme="minorHAnsi"/>
          <w:sz w:val="24"/>
          <w:szCs w:val="24"/>
        </w:rPr>
        <w:t xml:space="preserve">The TUI strongly welcomes the greater focus on the value of apprenticeships recently and particularly welcomes recent announcements by Minister Harris of an expansion of apprenticeship places.  It is also noteworthy that apprenticeships now extend up to level 10 on the NFQ.  As part of this </w:t>
      </w:r>
      <w:r w:rsidR="003F2ED9" w:rsidRPr="00896236">
        <w:rPr>
          <w:rFonts w:cstheme="minorHAnsi"/>
          <w:sz w:val="24"/>
          <w:szCs w:val="24"/>
        </w:rPr>
        <w:t>long sought</w:t>
      </w:r>
      <w:r w:rsidRPr="00896236">
        <w:rPr>
          <w:rFonts w:cstheme="minorHAnsi"/>
          <w:sz w:val="24"/>
          <w:szCs w:val="24"/>
        </w:rPr>
        <w:t xml:space="preserve"> and positive development the IoT/TU sector is playing a key role in supporting young people to access HE whilst also working in a paid job.</w:t>
      </w:r>
    </w:p>
    <w:p w14:paraId="55C86833" w14:textId="77777777" w:rsidR="008D5F28" w:rsidRPr="00896236" w:rsidRDefault="008D5F28" w:rsidP="00896236">
      <w:pPr>
        <w:spacing w:line="360" w:lineRule="auto"/>
        <w:jc w:val="both"/>
        <w:rPr>
          <w:rFonts w:cstheme="minorHAnsi"/>
          <w:sz w:val="24"/>
          <w:szCs w:val="24"/>
        </w:rPr>
      </w:pPr>
    </w:p>
    <w:p w14:paraId="5E3AEA67" w14:textId="5CA58ABD" w:rsidR="00273D34" w:rsidRPr="00896236" w:rsidRDefault="00273D34" w:rsidP="00896236">
      <w:pPr>
        <w:spacing w:line="360" w:lineRule="auto"/>
        <w:jc w:val="both"/>
        <w:rPr>
          <w:rFonts w:cstheme="minorHAnsi"/>
          <w:b/>
          <w:bCs/>
          <w:sz w:val="24"/>
          <w:szCs w:val="24"/>
          <w:u w:val="single"/>
        </w:rPr>
      </w:pPr>
      <w:r w:rsidRPr="00896236">
        <w:rPr>
          <w:rFonts w:cstheme="minorHAnsi"/>
          <w:b/>
          <w:bCs/>
          <w:sz w:val="24"/>
          <w:szCs w:val="24"/>
          <w:u w:val="single"/>
        </w:rPr>
        <w:t xml:space="preserve">Emergency Remote Teaching </w:t>
      </w:r>
      <w:r w:rsidR="00BE3F22" w:rsidRPr="00896236">
        <w:rPr>
          <w:rFonts w:cstheme="minorHAnsi"/>
          <w:b/>
          <w:bCs/>
          <w:sz w:val="24"/>
          <w:szCs w:val="24"/>
          <w:u w:val="single"/>
        </w:rPr>
        <w:t xml:space="preserve">and Learning </w:t>
      </w:r>
      <w:r w:rsidRPr="00896236">
        <w:rPr>
          <w:rFonts w:cstheme="minorHAnsi"/>
          <w:b/>
          <w:bCs/>
          <w:sz w:val="24"/>
          <w:szCs w:val="24"/>
          <w:u w:val="single"/>
        </w:rPr>
        <w:t>(ERT</w:t>
      </w:r>
      <w:r w:rsidR="00BE3F22" w:rsidRPr="00896236">
        <w:rPr>
          <w:rFonts w:cstheme="minorHAnsi"/>
          <w:b/>
          <w:bCs/>
          <w:sz w:val="24"/>
          <w:szCs w:val="24"/>
          <w:u w:val="single"/>
        </w:rPr>
        <w:t>L</w:t>
      </w:r>
      <w:r w:rsidRPr="00896236">
        <w:rPr>
          <w:rFonts w:cstheme="minorHAnsi"/>
          <w:b/>
          <w:bCs/>
          <w:sz w:val="24"/>
          <w:szCs w:val="24"/>
          <w:u w:val="single"/>
        </w:rPr>
        <w:t>)</w:t>
      </w:r>
    </w:p>
    <w:p w14:paraId="153F67CF" w14:textId="197C6348" w:rsidR="00273D34" w:rsidRPr="00896236" w:rsidRDefault="00273D34" w:rsidP="00896236">
      <w:pPr>
        <w:spacing w:line="360" w:lineRule="auto"/>
        <w:jc w:val="both"/>
        <w:rPr>
          <w:rFonts w:cstheme="minorHAnsi"/>
          <w:sz w:val="24"/>
          <w:szCs w:val="24"/>
          <w:lang w:val="en-US"/>
        </w:rPr>
      </w:pPr>
      <w:r w:rsidRPr="00896236">
        <w:rPr>
          <w:rFonts w:cstheme="minorHAnsi"/>
          <w:sz w:val="24"/>
          <w:szCs w:val="24"/>
          <w:lang w:val="en-US"/>
        </w:rPr>
        <w:t xml:space="preserve">In post-primary, third level, and further and adult education settings, TUI members engaged in </w:t>
      </w:r>
      <w:r w:rsidR="00BE3F22" w:rsidRPr="00896236">
        <w:rPr>
          <w:rFonts w:cstheme="minorHAnsi"/>
          <w:sz w:val="24"/>
          <w:szCs w:val="24"/>
          <w:lang w:val="en-US"/>
        </w:rPr>
        <w:t>ERTL</w:t>
      </w:r>
      <w:r w:rsidRPr="00896236">
        <w:rPr>
          <w:rFonts w:cstheme="minorHAnsi"/>
          <w:sz w:val="24"/>
          <w:szCs w:val="24"/>
          <w:lang w:val="en-US"/>
        </w:rPr>
        <w:t xml:space="preserve"> </w:t>
      </w:r>
      <w:r w:rsidR="00BE3F22" w:rsidRPr="00896236">
        <w:rPr>
          <w:rFonts w:cstheme="minorHAnsi"/>
          <w:sz w:val="24"/>
          <w:szCs w:val="24"/>
          <w:lang w:val="en-US"/>
        </w:rPr>
        <w:t>for extended periods since March 2020</w:t>
      </w:r>
      <w:r w:rsidRPr="00896236">
        <w:rPr>
          <w:rFonts w:cstheme="minorHAnsi"/>
          <w:sz w:val="24"/>
          <w:szCs w:val="24"/>
          <w:lang w:val="en-US"/>
        </w:rPr>
        <w:t>. For many members, ERT</w:t>
      </w:r>
      <w:r w:rsidR="00BE3F22" w:rsidRPr="00896236">
        <w:rPr>
          <w:rFonts w:cstheme="minorHAnsi"/>
          <w:sz w:val="24"/>
          <w:szCs w:val="24"/>
          <w:lang w:val="en-US"/>
        </w:rPr>
        <w:t>L</w:t>
      </w:r>
      <w:r w:rsidRPr="00896236">
        <w:rPr>
          <w:rFonts w:cstheme="minorHAnsi"/>
          <w:sz w:val="24"/>
          <w:szCs w:val="24"/>
          <w:lang w:val="en-US"/>
        </w:rPr>
        <w:t xml:space="preserve"> continue</w:t>
      </w:r>
      <w:r w:rsidR="00BE3F22" w:rsidRPr="00896236">
        <w:rPr>
          <w:rFonts w:cstheme="minorHAnsi"/>
          <w:sz w:val="24"/>
          <w:szCs w:val="24"/>
          <w:lang w:val="en-US"/>
        </w:rPr>
        <w:t>d</w:t>
      </w:r>
      <w:r w:rsidRPr="00896236">
        <w:rPr>
          <w:rFonts w:cstheme="minorHAnsi"/>
          <w:sz w:val="24"/>
          <w:szCs w:val="24"/>
          <w:lang w:val="en-US"/>
        </w:rPr>
        <w:t xml:space="preserve"> </w:t>
      </w:r>
      <w:r w:rsidR="00BE3F22" w:rsidRPr="00896236">
        <w:rPr>
          <w:rFonts w:cstheme="minorHAnsi"/>
          <w:sz w:val="24"/>
          <w:szCs w:val="24"/>
          <w:lang w:val="en-US"/>
        </w:rPr>
        <w:t>throughout</w:t>
      </w:r>
      <w:r w:rsidRPr="00896236">
        <w:rPr>
          <w:rFonts w:cstheme="minorHAnsi"/>
          <w:sz w:val="24"/>
          <w:szCs w:val="24"/>
          <w:lang w:val="en-US"/>
        </w:rPr>
        <w:t xml:space="preserve"> this academic year</w:t>
      </w:r>
      <w:r w:rsidR="00BE3F22" w:rsidRPr="00896236">
        <w:rPr>
          <w:rFonts w:cstheme="minorHAnsi"/>
          <w:sz w:val="24"/>
          <w:szCs w:val="24"/>
          <w:lang w:val="en-US"/>
        </w:rPr>
        <w:t>.</w:t>
      </w:r>
      <w:r w:rsidRPr="00896236">
        <w:rPr>
          <w:rFonts w:cstheme="minorHAnsi"/>
          <w:sz w:val="24"/>
          <w:szCs w:val="24"/>
          <w:lang w:val="en-US"/>
        </w:rPr>
        <w:t xml:space="preserve"> </w:t>
      </w:r>
    </w:p>
    <w:p w14:paraId="675AA2D7" w14:textId="77777777" w:rsidR="00BE3F22" w:rsidRPr="00896236" w:rsidRDefault="00BE3F22" w:rsidP="00896236">
      <w:pPr>
        <w:spacing w:line="360" w:lineRule="auto"/>
        <w:jc w:val="both"/>
        <w:rPr>
          <w:rFonts w:cstheme="minorHAnsi"/>
          <w:sz w:val="24"/>
          <w:szCs w:val="24"/>
          <w:lang w:val="en-US"/>
        </w:rPr>
      </w:pPr>
    </w:p>
    <w:p w14:paraId="4E1FF609" w14:textId="772B36C7" w:rsidR="00273D34" w:rsidRPr="00896236" w:rsidRDefault="00273D34" w:rsidP="00896236">
      <w:pPr>
        <w:spacing w:line="360" w:lineRule="auto"/>
        <w:jc w:val="both"/>
        <w:rPr>
          <w:rFonts w:cstheme="minorHAnsi"/>
          <w:sz w:val="24"/>
          <w:szCs w:val="24"/>
        </w:rPr>
      </w:pPr>
      <w:r w:rsidRPr="00896236">
        <w:rPr>
          <w:rFonts w:cstheme="minorHAnsi"/>
          <w:sz w:val="24"/>
          <w:szCs w:val="24"/>
          <w:lang w:val="en-US"/>
        </w:rPr>
        <w:t>ERT</w:t>
      </w:r>
      <w:r w:rsidR="00BE3F22" w:rsidRPr="00896236">
        <w:rPr>
          <w:rFonts w:cstheme="minorHAnsi"/>
          <w:sz w:val="24"/>
          <w:szCs w:val="24"/>
          <w:lang w:val="en-US"/>
        </w:rPr>
        <w:t>L</w:t>
      </w:r>
      <w:r w:rsidRPr="00896236">
        <w:rPr>
          <w:rFonts w:cstheme="minorHAnsi"/>
          <w:sz w:val="24"/>
          <w:szCs w:val="24"/>
          <w:lang w:val="en-US"/>
        </w:rPr>
        <w:t xml:space="preserve"> has been demonstrated to involve enormous, unsustainable educational, technical and workload challenges. Due to a range of issues, some students experience very significant difficulty in continuing to engage in education once it has been removed from the physical setting of the school, </w:t>
      </w:r>
      <w:proofErr w:type="gramStart"/>
      <w:r w:rsidRPr="00896236">
        <w:rPr>
          <w:rFonts w:cstheme="minorHAnsi"/>
          <w:sz w:val="24"/>
          <w:szCs w:val="24"/>
          <w:lang w:val="en-US"/>
        </w:rPr>
        <w:t>college</w:t>
      </w:r>
      <w:proofErr w:type="gramEnd"/>
      <w:r w:rsidRPr="00896236">
        <w:rPr>
          <w:rFonts w:cstheme="minorHAnsi"/>
          <w:sz w:val="24"/>
          <w:szCs w:val="24"/>
          <w:lang w:val="en-US"/>
        </w:rPr>
        <w:t xml:space="preserve"> or </w:t>
      </w:r>
      <w:proofErr w:type="spellStart"/>
      <w:r w:rsidRPr="00896236">
        <w:rPr>
          <w:rFonts w:cstheme="minorHAnsi"/>
          <w:sz w:val="24"/>
          <w:szCs w:val="24"/>
          <w:lang w:val="en-US"/>
        </w:rPr>
        <w:t>centre</w:t>
      </w:r>
      <w:proofErr w:type="spellEnd"/>
      <w:r w:rsidRPr="00896236">
        <w:rPr>
          <w:rFonts w:cstheme="minorHAnsi"/>
          <w:sz w:val="24"/>
          <w:szCs w:val="24"/>
          <w:lang w:val="en-US"/>
        </w:rPr>
        <w:t xml:space="preserve">. The importance of the shared classroom environment and of the personal relationships and interactions at the heart of good educational practice cannot be overstated and their loss cannot be replaced. TUI members witnessed the impact of economic pressures on student engagement, not least in the great difficulties faced by some families and households in adapting their homes into suitable learning spaces </w:t>
      </w:r>
      <w:proofErr w:type="gramStart"/>
      <w:r w:rsidRPr="00896236">
        <w:rPr>
          <w:rFonts w:cstheme="minorHAnsi"/>
          <w:sz w:val="24"/>
          <w:szCs w:val="24"/>
          <w:lang w:val="en-US"/>
        </w:rPr>
        <w:t>in spite of</w:t>
      </w:r>
      <w:proofErr w:type="gramEnd"/>
      <w:r w:rsidRPr="00896236">
        <w:rPr>
          <w:rFonts w:cstheme="minorHAnsi"/>
          <w:sz w:val="24"/>
          <w:szCs w:val="24"/>
          <w:lang w:val="en-US"/>
        </w:rPr>
        <w:t xml:space="preserve"> their best efforts. The lack of appropriate devices and broadband access, both for educators and students, presented and continue to present severe limitations on what is possible, as do the lack of training and technical support. Learning resources, lesson plans and teaching strategies must be replaced or rewritten creating massive workload issues. All </w:t>
      </w:r>
      <w:r w:rsidRPr="00896236">
        <w:rPr>
          <w:rFonts w:cstheme="minorHAnsi"/>
          <w:sz w:val="24"/>
          <w:szCs w:val="24"/>
          <w:lang w:val="en-US"/>
        </w:rPr>
        <w:lastRenderedPageBreak/>
        <w:t>educational interactions become more time-consuming and more likely to need repetition and reinforcement. Feedback and assessment take place in new settings and formats, many needing to be newly created and taking significantly more time and work by educators.</w:t>
      </w:r>
      <w:r w:rsidR="00BE3F22" w:rsidRPr="00896236">
        <w:rPr>
          <w:rFonts w:cstheme="minorHAnsi"/>
          <w:sz w:val="24"/>
          <w:szCs w:val="24"/>
          <w:lang w:val="en-US"/>
        </w:rPr>
        <w:t xml:space="preserve">  ERTL proved to be particularly challenging for under-represented student groups.</w:t>
      </w:r>
    </w:p>
    <w:p w14:paraId="3B2EA125" w14:textId="77777777" w:rsidR="00273D34" w:rsidRPr="00896236" w:rsidRDefault="00273D34" w:rsidP="00896236">
      <w:pPr>
        <w:spacing w:line="360" w:lineRule="auto"/>
        <w:jc w:val="both"/>
        <w:rPr>
          <w:rFonts w:cstheme="minorHAnsi"/>
          <w:sz w:val="24"/>
          <w:szCs w:val="24"/>
        </w:rPr>
      </w:pPr>
    </w:p>
    <w:p w14:paraId="06E8D52C" w14:textId="269F9E3C" w:rsidR="00273D34" w:rsidRPr="00896236" w:rsidRDefault="00273D34" w:rsidP="00896236">
      <w:pPr>
        <w:spacing w:after="0" w:line="360" w:lineRule="auto"/>
        <w:jc w:val="both"/>
        <w:rPr>
          <w:rFonts w:cstheme="minorHAnsi"/>
          <w:b/>
          <w:bCs/>
          <w:sz w:val="24"/>
          <w:szCs w:val="24"/>
          <w:u w:val="single"/>
        </w:rPr>
      </w:pPr>
      <w:r w:rsidRPr="00896236">
        <w:rPr>
          <w:rFonts w:cstheme="minorHAnsi"/>
          <w:b/>
          <w:bCs/>
          <w:sz w:val="24"/>
          <w:szCs w:val="24"/>
          <w:u w:val="single"/>
        </w:rPr>
        <w:t>Investment in the Education System</w:t>
      </w:r>
    </w:p>
    <w:p w14:paraId="2527BFC5" w14:textId="2FE8681A" w:rsidR="00273D34" w:rsidRPr="00896236" w:rsidRDefault="00273D34" w:rsidP="00896236">
      <w:pPr>
        <w:spacing w:after="0" w:line="360" w:lineRule="auto"/>
        <w:jc w:val="both"/>
        <w:rPr>
          <w:rFonts w:cstheme="minorHAnsi"/>
          <w:sz w:val="24"/>
          <w:szCs w:val="24"/>
        </w:rPr>
      </w:pPr>
      <w:r w:rsidRPr="00896236">
        <w:rPr>
          <w:rFonts w:cstheme="minorHAnsi"/>
          <w:bCs/>
          <w:sz w:val="24"/>
          <w:szCs w:val="24"/>
        </w:rPr>
        <w:t xml:space="preserve">It is important to note that in 2019 Ireland only spent 0.9% of GDP on tertiary education, compared to 1.4% in the OECD (OECD, 2019a).  The ratio of students to teachers in Irish tertiary education is also very significantly above both the OECD and EU averages (OECD, 2020d).  The funding deficit, even aside from anything to do with Covid-19, will get worse in coming years as, student numbers are estimated by the </w:t>
      </w:r>
      <w:r w:rsidRPr="00896236">
        <w:rPr>
          <w:rFonts w:cstheme="minorHAnsi"/>
          <w:sz w:val="24"/>
          <w:szCs w:val="24"/>
        </w:rPr>
        <w:t>DES to rise by almost thirty thousand in tertiary education in the next ten years (DES, 2018d).</w:t>
      </w:r>
    </w:p>
    <w:p w14:paraId="00F4BD17" w14:textId="77777777" w:rsidR="00273D34" w:rsidRPr="00896236" w:rsidRDefault="00273D34" w:rsidP="00896236">
      <w:pPr>
        <w:pStyle w:val="NoSpacing"/>
        <w:spacing w:line="360" w:lineRule="auto"/>
        <w:jc w:val="both"/>
        <w:rPr>
          <w:rFonts w:cstheme="minorHAnsi"/>
          <w:sz w:val="24"/>
          <w:szCs w:val="24"/>
        </w:rPr>
      </w:pPr>
    </w:p>
    <w:p w14:paraId="0845DE95" w14:textId="1988AC1F" w:rsidR="008C25EE" w:rsidRPr="00896236" w:rsidRDefault="00273D34" w:rsidP="00896236">
      <w:pPr>
        <w:pStyle w:val="PlainText"/>
        <w:spacing w:line="360" w:lineRule="auto"/>
        <w:jc w:val="both"/>
        <w:rPr>
          <w:rFonts w:asciiTheme="minorHAnsi" w:hAnsiTheme="minorHAnsi" w:cstheme="minorHAnsi"/>
          <w:sz w:val="24"/>
          <w:szCs w:val="24"/>
        </w:rPr>
      </w:pPr>
      <w:r w:rsidRPr="00896236">
        <w:rPr>
          <w:rFonts w:asciiTheme="minorHAnsi" w:hAnsiTheme="minorHAnsi" w:cstheme="minorHAnsi"/>
          <w:sz w:val="24"/>
          <w:szCs w:val="24"/>
        </w:rPr>
        <w:t>Even without an increase in student numbers over the next decade, the third level budget is forty percent (approximately €100 million) off where we were ten years ago (Irish Times, January 23</w:t>
      </w:r>
      <w:r w:rsidRPr="00896236">
        <w:rPr>
          <w:rFonts w:asciiTheme="minorHAnsi" w:hAnsiTheme="minorHAnsi" w:cstheme="minorHAnsi"/>
          <w:sz w:val="24"/>
          <w:szCs w:val="24"/>
          <w:vertAlign w:val="superscript"/>
        </w:rPr>
        <w:t>rd</w:t>
      </w:r>
      <w:r w:rsidRPr="00896236">
        <w:rPr>
          <w:rFonts w:asciiTheme="minorHAnsi" w:hAnsiTheme="minorHAnsi" w:cstheme="minorHAnsi"/>
          <w:sz w:val="24"/>
          <w:szCs w:val="24"/>
        </w:rPr>
        <w:t>, 2020).  The Cassells report made clear that</w:t>
      </w:r>
      <w:r w:rsidRPr="00896236">
        <w:rPr>
          <w:rFonts w:asciiTheme="minorHAnsi" w:hAnsiTheme="minorHAnsi" w:cstheme="minorHAnsi"/>
          <w:sz w:val="24"/>
          <w:szCs w:val="24"/>
          <w:lang w:val="en-GB"/>
        </w:rPr>
        <w:t xml:space="preserve"> €600m was needed by 2021.  The TUI would like to acknowledge the positive comments that Minister Harris made at a recent Education Futures seminar in relation to not wanting yet another committee to discuss the problems outlined in the Cassells report and that progress needed to be made on the issue in 2021.</w:t>
      </w:r>
      <w:r w:rsidR="008C25EE" w:rsidRPr="00896236">
        <w:rPr>
          <w:rFonts w:asciiTheme="minorHAnsi" w:hAnsiTheme="minorHAnsi" w:cstheme="minorHAnsi"/>
          <w:sz w:val="24"/>
          <w:szCs w:val="24"/>
        </w:rPr>
        <w:t xml:space="preserve"> According to the then CEO of the HEA “the scale of the funding challenge for higher education is enormous” and that spending on tertiary education in Ireland in 2013 was only three-quarters that of the OECD average (conference speech, Graham Love, June 13</w:t>
      </w:r>
      <w:r w:rsidR="008C25EE" w:rsidRPr="00896236">
        <w:rPr>
          <w:rFonts w:asciiTheme="minorHAnsi" w:hAnsiTheme="minorHAnsi" w:cstheme="minorHAnsi"/>
          <w:sz w:val="24"/>
          <w:szCs w:val="24"/>
          <w:vertAlign w:val="superscript"/>
        </w:rPr>
        <w:t>th</w:t>
      </w:r>
      <w:r w:rsidR="003F2ED9" w:rsidRPr="00896236">
        <w:rPr>
          <w:rFonts w:asciiTheme="minorHAnsi" w:hAnsiTheme="minorHAnsi" w:cstheme="minorHAnsi"/>
          <w:sz w:val="24"/>
          <w:szCs w:val="24"/>
        </w:rPr>
        <w:t>, 2018</w:t>
      </w:r>
      <w:r w:rsidR="008C25EE" w:rsidRPr="00896236">
        <w:rPr>
          <w:rFonts w:asciiTheme="minorHAnsi" w:hAnsiTheme="minorHAnsi" w:cstheme="minorHAnsi"/>
          <w:sz w:val="24"/>
          <w:szCs w:val="24"/>
        </w:rPr>
        <w:t>). OECD/EU (2017) notes that student numbers in higher education are expected to grow 30% in the next fifteen year</w:t>
      </w:r>
      <w:r w:rsidR="00BE3F22" w:rsidRPr="00896236">
        <w:rPr>
          <w:rFonts w:asciiTheme="minorHAnsi" w:hAnsiTheme="minorHAnsi" w:cstheme="minorHAnsi"/>
          <w:sz w:val="24"/>
          <w:szCs w:val="24"/>
        </w:rPr>
        <w:t>s</w:t>
      </w:r>
      <w:r w:rsidR="008C25EE" w:rsidRPr="00896236">
        <w:rPr>
          <w:rFonts w:asciiTheme="minorHAnsi" w:hAnsiTheme="minorHAnsi" w:cstheme="minorHAnsi"/>
          <w:sz w:val="24"/>
          <w:szCs w:val="24"/>
        </w:rPr>
        <w:t>.  It notes that state funding of HEIs was 76% of their total funding in 2007/08 but was only 51% of their total funding in 2015/16.</w:t>
      </w:r>
    </w:p>
    <w:p w14:paraId="5BC11AA7" w14:textId="399CAE1C" w:rsidR="00404331" w:rsidRPr="00896236" w:rsidRDefault="00404331" w:rsidP="00896236">
      <w:pPr>
        <w:pStyle w:val="PlainText"/>
        <w:spacing w:line="360" w:lineRule="auto"/>
        <w:jc w:val="both"/>
        <w:rPr>
          <w:rFonts w:asciiTheme="minorHAnsi" w:hAnsiTheme="minorHAnsi" w:cstheme="minorHAnsi"/>
          <w:sz w:val="24"/>
          <w:szCs w:val="24"/>
        </w:rPr>
      </w:pPr>
    </w:p>
    <w:p w14:paraId="1D4D03A6" w14:textId="3191F20D" w:rsidR="00425AD7" w:rsidRPr="00896236" w:rsidRDefault="00BA05C8" w:rsidP="00896236">
      <w:pPr>
        <w:spacing w:before="100" w:beforeAutospacing="1" w:after="100" w:afterAutospacing="1" w:line="360" w:lineRule="auto"/>
        <w:contextualSpacing/>
        <w:jc w:val="both"/>
        <w:rPr>
          <w:rFonts w:eastAsia="Times New Roman" w:cstheme="minorHAnsi"/>
          <w:sz w:val="24"/>
          <w:szCs w:val="24"/>
          <w:lang w:val="en" w:eastAsia="en-IE"/>
        </w:rPr>
      </w:pPr>
      <w:r w:rsidRPr="00896236">
        <w:rPr>
          <w:rFonts w:cstheme="minorHAnsi"/>
          <w:bCs/>
          <w:sz w:val="24"/>
          <w:szCs w:val="24"/>
        </w:rPr>
        <w:t xml:space="preserve">Exchequer funding of higher education is a true investment with a large return.  </w:t>
      </w:r>
      <w:r w:rsidR="00404331" w:rsidRPr="00896236">
        <w:rPr>
          <w:rFonts w:cstheme="minorHAnsi"/>
          <w:bCs/>
          <w:sz w:val="24"/>
          <w:szCs w:val="24"/>
        </w:rPr>
        <w:t>OECD (2019</w:t>
      </w:r>
      <w:r w:rsidR="00425AD7" w:rsidRPr="00896236">
        <w:rPr>
          <w:rFonts w:cstheme="minorHAnsi"/>
          <w:bCs/>
          <w:sz w:val="24"/>
          <w:szCs w:val="24"/>
        </w:rPr>
        <w:t>a</w:t>
      </w:r>
      <w:r w:rsidRPr="00896236">
        <w:rPr>
          <w:rFonts w:cstheme="minorHAnsi"/>
          <w:bCs/>
          <w:sz w:val="24"/>
          <w:szCs w:val="24"/>
        </w:rPr>
        <w:t>)</w:t>
      </w:r>
      <w:r w:rsidR="00404331" w:rsidRPr="00896236">
        <w:rPr>
          <w:rFonts w:cstheme="minorHAnsi"/>
          <w:bCs/>
          <w:sz w:val="24"/>
          <w:szCs w:val="24"/>
        </w:rPr>
        <w:t xml:space="preserve"> </w:t>
      </w:r>
      <w:r w:rsidRPr="00896236">
        <w:rPr>
          <w:rFonts w:cstheme="minorHAnsi"/>
          <w:bCs/>
          <w:sz w:val="24"/>
          <w:szCs w:val="24"/>
        </w:rPr>
        <w:t xml:space="preserve">has found that </w:t>
      </w:r>
      <w:bookmarkStart w:id="3" w:name="_Hlk33798883"/>
      <w:r w:rsidRPr="00896236">
        <w:rPr>
          <w:rFonts w:cstheme="minorHAnsi"/>
          <w:bCs/>
          <w:sz w:val="24"/>
          <w:szCs w:val="24"/>
        </w:rPr>
        <w:t>t</w:t>
      </w:r>
      <w:r w:rsidR="00404331" w:rsidRPr="00896236">
        <w:rPr>
          <w:rFonts w:eastAsia="ArialMT" w:cstheme="minorHAnsi"/>
          <w:bCs/>
          <w:sz w:val="24"/>
          <w:szCs w:val="24"/>
        </w:rPr>
        <w:t>h</w:t>
      </w:r>
      <w:r w:rsidR="00404331" w:rsidRPr="00896236">
        <w:rPr>
          <w:rFonts w:eastAsia="ArialMT" w:cstheme="minorHAnsi"/>
          <w:sz w:val="24"/>
          <w:szCs w:val="24"/>
        </w:rPr>
        <w:t>e public net financial returns of a man attaining tertiary education is $369k in Ireland, compared to an average of $148k in the OECD and $165k in the EU23.  The equivalent figures for women are $143k in Ireland, $77k in the OECD and $90k in the EU23.</w:t>
      </w:r>
      <w:r w:rsidRPr="00896236">
        <w:rPr>
          <w:rFonts w:cstheme="minorHAnsi"/>
          <w:sz w:val="24"/>
          <w:szCs w:val="24"/>
        </w:rPr>
        <w:t xml:space="preserve"> </w:t>
      </w:r>
      <w:r w:rsidRPr="00896236">
        <w:rPr>
          <w:rFonts w:cstheme="minorHAnsi"/>
          <w:sz w:val="24"/>
          <w:szCs w:val="24"/>
        </w:rPr>
        <w:lastRenderedPageBreak/>
        <w:t xml:space="preserve">Investment is public goods such as tertiary education also has large public support.  For example, a two-to-one majority of the public would prefer Government to spend money on public services rather than more tax cuts (Sunday Independent / Kantar </w:t>
      </w:r>
      <w:proofErr w:type="spellStart"/>
      <w:r w:rsidRPr="00896236">
        <w:rPr>
          <w:rFonts w:cstheme="minorHAnsi"/>
          <w:sz w:val="24"/>
          <w:szCs w:val="24"/>
        </w:rPr>
        <w:t>MillwardBrown</w:t>
      </w:r>
      <w:proofErr w:type="spellEnd"/>
      <w:r w:rsidRPr="00896236">
        <w:rPr>
          <w:rFonts w:cstheme="minorHAnsi"/>
          <w:sz w:val="24"/>
          <w:szCs w:val="24"/>
        </w:rPr>
        <w:t xml:space="preserve"> poll December 16</w:t>
      </w:r>
      <w:r w:rsidRPr="00896236">
        <w:rPr>
          <w:rFonts w:cstheme="minorHAnsi"/>
          <w:sz w:val="24"/>
          <w:szCs w:val="24"/>
          <w:vertAlign w:val="superscript"/>
        </w:rPr>
        <w:t>th</w:t>
      </w:r>
      <w:r w:rsidR="003F2ED9" w:rsidRPr="00896236">
        <w:rPr>
          <w:rFonts w:cstheme="minorHAnsi"/>
          <w:sz w:val="24"/>
          <w:szCs w:val="24"/>
        </w:rPr>
        <w:t>, 2018</w:t>
      </w:r>
      <w:r w:rsidRPr="00896236">
        <w:rPr>
          <w:rFonts w:cstheme="minorHAnsi"/>
          <w:sz w:val="24"/>
          <w:szCs w:val="24"/>
        </w:rPr>
        <w:t>).</w:t>
      </w:r>
      <w:r w:rsidR="00425AD7" w:rsidRPr="00896236">
        <w:rPr>
          <w:rFonts w:cstheme="minorHAnsi"/>
          <w:sz w:val="24"/>
          <w:szCs w:val="24"/>
        </w:rPr>
        <w:t xml:space="preserve">  Despite this CSO (2020) found that </w:t>
      </w:r>
      <w:r w:rsidR="00425AD7" w:rsidRPr="00896236">
        <w:rPr>
          <w:rFonts w:eastAsia="Times New Roman" w:cstheme="minorHAnsi"/>
          <w:sz w:val="24"/>
          <w:szCs w:val="24"/>
          <w:lang w:val="en" w:eastAsia="en-IE"/>
        </w:rPr>
        <w:t>Between 2007 and 2016, real expenditure per student at third level education decreased from €10,806 in 2007 to €7,089 in 2016, a drop of 34.4%.</w:t>
      </w:r>
    </w:p>
    <w:p w14:paraId="1A1D8E93" w14:textId="2E91C4C8" w:rsidR="00BA05C8" w:rsidRPr="00896236" w:rsidRDefault="00BA05C8" w:rsidP="00896236">
      <w:pPr>
        <w:autoSpaceDE w:val="0"/>
        <w:autoSpaceDN w:val="0"/>
        <w:adjustRightInd w:val="0"/>
        <w:spacing w:after="0" w:line="360" w:lineRule="auto"/>
        <w:jc w:val="both"/>
        <w:rPr>
          <w:rFonts w:cstheme="minorHAnsi"/>
          <w:sz w:val="24"/>
          <w:szCs w:val="24"/>
        </w:rPr>
      </w:pPr>
    </w:p>
    <w:bookmarkEnd w:id="3"/>
    <w:p w14:paraId="446414B3" w14:textId="1001D4EB" w:rsidR="00273D34" w:rsidRPr="00896236" w:rsidRDefault="00273D34" w:rsidP="00896236">
      <w:pPr>
        <w:spacing w:after="0" w:line="360" w:lineRule="auto"/>
        <w:jc w:val="both"/>
        <w:rPr>
          <w:rFonts w:cstheme="minorHAnsi"/>
          <w:sz w:val="24"/>
          <w:szCs w:val="24"/>
          <w:lang w:val="en-GB"/>
        </w:rPr>
      </w:pPr>
      <w:r w:rsidRPr="00896236">
        <w:rPr>
          <w:rFonts w:cstheme="minorHAnsi"/>
          <w:sz w:val="24"/>
          <w:szCs w:val="24"/>
          <w:lang w:val="en-GB"/>
        </w:rPr>
        <w:t xml:space="preserve">Investment in the further education and training sector also needs to be addressed.  Priorities in the Programme for Government can only be adequately addressed if accompanied by additional funding.  Areas such as </w:t>
      </w:r>
      <w:proofErr w:type="spellStart"/>
      <w:r w:rsidRPr="00896236">
        <w:rPr>
          <w:rFonts w:cstheme="minorHAnsi"/>
          <w:sz w:val="24"/>
          <w:szCs w:val="24"/>
          <w:lang w:val="en-GB"/>
        </w:rPr>
        <w:t>Youthreach</w:t>
      </w:r>
      <w:proofErr w:type="spellEnd"/>
      <w:r w:rsidRPr="00896236">
        <w:rPr>
          <w:rFonts w:cstheme="minorHAnsi"/>
          <w:sz w:val="24"/>
          <w:szCs w:val="24"/>
          <w:lang w:val="en-GB"/>
        </w:rPr>
        <w:t>, adult literacy, post-leaving certificate programmes etc have for too long been a ‘Cinderella’ of the system.</w:t>
      </w:r>
    </w:p>
    <w:p w14:paraId="71734E27" w14:textId="77777777" w:rsidR="00404331" w:rsidRPr="00896236" w:rsidRDefault="00404331" w:rsidP="00896236">
      <w:pPr>
        <w:autoSpaceDE w:val="0"/>
        <w:autoSpaceDN w:val="0"/>
        <w:adjustRightInd w:val="0"/>
        <w:spacing w:after="0" w:line="360" w:lineRule="auto"/>
        <w:jc w:val="both"/>
        <w:rPr>
          <w:rFonts w:cstheme="minorHAnsi"/>
          <w:sz w:val="24"/>
          <w:szCs w:val="24"/>
        </w:rPr>
      </w:pPr>
    </w:p>
    <w:p w14:paraId="1F369178" w14:textId="4BEC9D0C" w:rsidR="00404331" w:rsidRPr="00896236" w:rsidRDefault="00404331" w:rsidP="00896236">
      <w:pPr>
        <w:autoSpaceDE w:val="0"/>
        <w:autoSpaceDN w:val="0"/>
        <w:adjustRightInd w:val="0"/>
        <w:spacing w:after="0" w:line="360" w:lineRule="auto"/>
        <w:jc w:val="both"/>
        <w:rPr>
          <w:rFonts w:cstheme="minorHAnsi"/>
          <w:sz w:val="24"/>
          <w:szCs w:val="24"/>
        </w:rPr>
      </w:pPr>
      <w:r w:rsidRPr="00896236">
        <w:rPr>
          <w:rFonts w:cstheme="minorHAnsi"/>
          <w:sz w:val="24"/>
          <w:szCs w:val="24"/>
        </w:rPr>
        <w:t xml:space="preserve">As noted by Clarke, </w:t>
      </w:r>
      <w:proofErr w:type="gramStart"/>
      <w:r w:rsidRPr="00896236">
        <w:rPr>
          <w:rFonts w:cstheme="minorHAnsi"/>
          <w:sz w:val="24"/>
          <w:szCs w:val="24"/>
        </w:rPr>
        <w:t>Kenny</w:t>
      </w:r>
      <w:proofErr w:type="gramEnd"/>
      <w:r w:rsidRPr="00896236">
        <w:rPr>
          <w:rFonts w:cstheme="minorHAnsi"/>
          <w:sz w:val="24"/>
          <w:szCs w:val="24"/>
        </w:rPr>
        <w:t xml:space="preserve"> and Loxley (2015: 11), the third level sector “as a whole experienced a 29% reduction </w:t>
      </w:r>
      <w:r w:rsidR="00425AD7" w:rsidRPr="00896236">
        <w:rPr>
          <w:rFonts w:cstheme="minorHAnsi"/>
          <w:sz w:val="24"/>
          <w:szCs w:val="24"/>
        </w:rPr>
        <w:t xml:space="preserve">in funding </w:t>
      </w:r>
      <w:r w:rsidRPr="00896236">
        <w:rPr>
          <w:rFonts w:cstheme="minorHAnsi"/>
          <w:sz w:val="24"/>
          <w:szCs w:val="24"/>
        </w:rPr>
        <w:t>(€385,688,801.00) from 2007 to 2014. When the funding is disaggregated per sector the cuts experienced were; IoTs 32% (-170,719,711.00), Universities 26% (-€200,610,172.00) and Colleges 24% (-€14,358,919.00). During the same period staffing numbers in the public sector were reduced by 10% (32,000).”</w:t>
      </w:r>
    </w:p>
    <w:p w14:paraId="0B777C71" w14:textId="77777777" w:rsidR="00404331" w:rsidRPr="00896236" w:rsidRDefault="00404331" w:rsidP="00896236">
      <w:pPr>
        <w:pStyle w:val="PlainText"/>
        <w:spacing w:line="360" w:lineRule="auto"/>
        <w:jc w:val="both"/>
        <w:rPr>
          <w:rFonts w:asciiTheme="minorHAnsi" w:hAnsiTheme="minorHAnsi" w:cstheme="minorHAnsi"/>
          <w:sz w:val="24"/>
          <w:szCs w:val="24"/>
        </w:rPr>
      </w:pPr>
    </w:p>
    <w:p w14:paraId="23F36315" w14:textId="77777777" w:rsidR="00404331" w:rsidRPr="00896236" w:rsidRDefault="00404331" w:rsidP="00896236">
      <w:pPr>
        <w:spacing w:line="360" w:lineRule="auto"/>
        <w:jc w:val="both"/>
        <w:rPr>
          <w:rFonts w:cstheme="minorHAnsi"/>
          <w:sz w:val="24"/>
          <w:szCs w:val="24"/>
          <w:u w:val="single"/>
        </w:rPr>
      </w:pPr>
    </w:p>
    <w:p w14:paraId="5D210A33" w14:textId="3FCC8411" w:rsidR="00273D34" w:rsidRPr="00896236" w:rsidRDefault="00273D34" w:rsidP="00896236">
      <w:pPr>
        <w:spacing w:line="360" w:lineRule="auto"/>
        <w:jc w:val="both"/>
        <w:rPr>
          <w:rFonts w:cstheme="minorHAnsi"/>
          <w:b/>
          <w:bCs/>
          <w:sz w:val="24"/>
          <w:szCs w:val="24"/>
          <w:u w:val="single"/>
        </w:rPr>
      </w:pPr>
      <w:r w:rsidRPr="00896236">
        <w:rPr>
          <w:rFonts w:cstheme="minorHAnsi"/>
          <w:b/>
          <w:bCs/>
          <w:sz w:val="24"/>
          <w:szCs w:val="24"/>
          <w:u w:val="single"/>
        </w:rPr>
        <w:t>Covid-19</w:t>
      </w:r>
    </w:p>
    <w:p w14:paraId="57912875" w14:textId="596AB6BC" w:rsidR="00273D34" w:rsidRPr="00896236" w:rsidRDefault="00273D34" w:rsidP="00896236">
      <w:pPr>
        <w:spacing w:line="360" w:lineRule="auto"/>
        <w:jc w:val="both"/>
        <w:rPr>
          <w:rFonts w:cstheme="minorHAnsi"/>
          <w:sz w:val="24"/>
          <w:szCs w:val="24"/>
        </w:rPr>
      </w:pPr>
      <w:r w:rsidRPr="00896236">
        <w:rPr>
          <w:rFonts w:cstheme="minorHAnsi"/>
          <w:sz w:val="24"/>
          <w:szCs w:val="24"/>
        </w:rPr>
        <w:t xml:space="preserve">The current pandemic has clearly shown the extraordinary lengths staff and management in all sectors of the education system will go to support their students.  However, it has also shown the level of historic under-investment that the system is trying to cope with.  The TUI welcomes the funding which the DE, and DFHERIS, has put into the system.  However, more will clearly be needed as the pandemic </w:t>
      </w:r>
      <w:r w:rsidR="003F2ED9" w:rsidRPr="00896236">
        <w:rPr>
          <w:rFonts w:cstheme="minorHAnsi"/>
          <w:sz w:val="24"/>
          <w:szCs w:val="24"/>
        </w:rPr>
        <w:t>continues</w:t>
      </w:r>
      <w:r w:rsidRPr="00896236">
        <w:rPr>
          <w:rFonts w:cstheme="minorHAnsi"/>
          <w:sz w:val="24"/>
          <w:szCs w:val="24"/>
        </w:rPr>
        <w:t xml:space="preserve"> into </w:t>
      </w:r>
      <w:r w:rsidR="00E14A80" w:rsidRPr="00896236">
        <w:rPr>
          <w:rFonts w:cstheme="minorHAnsi"/>
          <w:sz w:val="24"/>
          <w:szCs w:val="24"/>
        </w:rPr>
        <w:t xml:space="preserve">late </w:t>
      </w:r>
      <w:r w:rsidRPr="00896236">
        <w:rPr>
          <w:rFonts w:cstheme="minorHAnsi"/>
          <w:sz w:val="24"/>
          <w:szCs w:val="24"/>
        </w:rPr>
        <w:t xml:space="preserve">2021.  The issue of technology and the digital divide is just one example.  </w:t>
      </w:r>
      <w:r w:rsidR="0071478C" w:rsidRPr="00896236">
        <w:rPr>
          <w:rFonts w:cstheme="minorHAnsi"/>
          <w:sz w:val="24"/>
          <w:szCs w:val="24"/>
        </w:rPr>
        <w:t>Providing laptops to students is a start but does not resolve the problem of the digital divide and it does nothing to solve the difficulty of poor access to broadband services especially in rural areas.</w:t>
      </w:r>
    </w:p>
    <w:p w14:paraId="76C9F9DA" w14:textId="77777777" w:rsidR="00273D34" w:rsidRPr="00896236" w:rsidRDefault="00273D34" w:rsidP="00896236">
      <w:pPr>
        <w:spacing w:line="360" w:lineRule="auto"/>
        <w:jc w:val="both"/>
        <w:rPr>
          <w:rFonts w:cstheme="minorHAnsi"/>
          <w:sz w:val="24"/>
          <w:szCs w:val="24"/>
        </w:rPr>
      </w:pPr>
    </w:p>
    <w:p w14:paraId="59CA97D0" w14:textId="02D6BFFB" w:rsidR="00273D34" w:rsidRPr="00896236" w:rsidRDefault="00D1662A" w:rsidP="00896236">
      <w:pPr>
        <w:spacing w:after="150" w:line="360" w:lineRule="auto"/>
        <w:jc w:val="both"/>
        <w:rPr>
          <w:rFonts w:eastAsia="Times New Roman" w:cstheme="minorHAnsi"/>
          <w:sz w:val="24"/>
          <w:szCs w:val="24"/>
          <w:lang w:eastAsia="en-IE"/>
        </w:rPr>
      </w:pPr>
      <w:r w:rsidRPr="00896236">
        <w:rPr>
          <w:rFonts w:eastAsia="Times New Roman" w:cstheme="minorHAnsi"/>
          <w:sz w:val="24"/>
          <w:szCs w:val="24"/>
          <w:lang w:eastAsia="en-IE"/>
        </w:rPr>
        <w:lastRenderedPageBreak/>
        <w:t xml:space="preserve">In April 2021, the TUI carried out a survey of its third level members.  </w:t>
      </w:r>
      <w:r w:rsidR="00273D34" w:rsidRPr="00896236">
        <w:rPr>
          <w:rFonts w:eastAsia="Times New Roman" w:cstheme="minorHAnsi"/>
          <w:sz w:val="24"/>
          <w:szCs w:val="24"/>
          <w:lang w:eastAsia="en-IE"/>
        </w:rPr>
        <w:t>Key findings of the survey of over 1,500 members included: </w:t>
      </w:r>
    </w:p>
    <w:p w14:paraId="4012A22E" w14:textId="77777777" w:rsidR="00273D34" w:rsidRPr="00896236" w:rsidRDefault="00273D34" w:rsidP="00896236">
      <w:pPr>
        <w:numPr>
          <w:ilvl w:val="0"/>
          <w:numId w:val="45"/>
        </w:numPr>
        <w:spacing w:before="100" w:beforeAutospacing="1" w:after="225" w:line="360" w:lineRule="auto"/>
        <w:jc w:val="both"/>
        <w:rPr>
          <w:rFonts w:eastAsia="Times New Roman" w:cstheme="minorHAnsi"/>
          <w:sz w:val="24"/>
          <w:szCs w:val="24"/>
          <w:lang w:eastAsia="en-IE"/>
        </w:rPr>
      </w:pPr>
      <w:r w:rsidRPr="00896236">
        <w:rPr>
          <w:rFonts w:eastAsia="Times New Roman" w:cstheme="minorHAnsi"/>
          <w:sz w:val="24"/>
          <w:szCs w:val="24"/>
          <w:lang w:eastAsia="en-IE"/>
        </w:rPr>
        <w:t xml:space="preserve">71% do not believe that the enhanced teaching/staffing allocation provided </w:t>
      </w:r>
      <w:proofErr w:type="gramStart"/>
      <w:r w:rsidRPr="00896236">
        <w:rPr>
          <w:rFonts w:eastAsia="Times New Roman" w:cstheme="minorHAnsi"/>
          <w:sz w:val="24"/>
          <w:szCs w:val="24"/>
          <w:lang w:eastAsia="en-IE"/>
        </w:rPr>
        <w:t>as a result of</w:t>
      </w:r>
      <w:proofErr w:type="gramEnd"/>
      <w:r w:rsidRPr="00896236">
        <w:rPr>
          <w:rFonts w:eastAsia="Times New Roman" w:cstheme="minorHAnsi"/>
          <w:sz w:val="24"/>
          <w:szCs w:val="24"/>
          <w:lang w:eastAsia="en-IE"/>
        </w:rPr>
        <w:t xml:space="preserve"> COVID-19 has been sufficient to meet requirements  </w:t>
      </w:r>
    </w:p>
    <w:p w14:paraId="25E4A49E" w14:textId="77777777" w:rsidR="00273D34" w:rsidRPr="00896236" w:rsidRDefault="00273D34" w:rsidP="00896236">
      <w:pPr>
        <w:numPr>
          <w:ilvl w:val="0"/>
          <w:numId w:val="45"/>
        </w:numPr>
        <w:spacing w:before="100" w:beforeAutospacing="1" w:after="225" w:line="360" w:lineRule="auto"/>
        <w:jc w:val="both"/>
        <w:rPr>
          <w:rFonts w:eastAsia="Times New Roman" w:cstheme="minorHAnsi"/>
          <w:sz w:val="24"/>
          <w:szCs w:val="24"/>
          <w:lang w:eastAsia="en-IE"/>
        </w:rPr>
      </w:pPr>
      <w:r w:rsidRPr="00896236">
        <w:rPr>
          <w:rFonts w:eastAsia="Times New Roman" w:cstheme="minorHAnsi"/>
          <w:sz w:val="24"/>
          <w:szCs w:val="24"/>
          <w:lang w:eastAsia="en-IE"/>
        </w:rPr>
        <w:t>95% said their work is somewhat or significantly more difficult compared to twelve months ago  </w:t>
      </w:r>
    </w:p>
    <w:p w14:paraId="4F8BF613" w14:textId="77777777" w:rsidR="00273D34" w:rsidRPr="00896236" w:rsidRDefault="00273D34" w:rsidP="00896236">
      <w:pPr>
        <w:numPr>
          <w:ilvl w:val="0"/>
          <w:numId w:val="45"/>
        </w:numPr>
        <w:spacing w:before="100" w:beforeAutospacing="1" w:after="225" w:line="360" w:lineRule="auto"/>
        <w:jc w:val="both"/>
        <w:rPr>
          <w:rFonts w:eastAsia="Times New Roman" w:cstheme="minorHAnsi"/>
          <w:sz w:val="24"/>
          <w:szCs w:val="24"/>
          <w:lang w:eastAsia="en-IE"/>
        </w:rPr>
      </w:pPr>
      <w:r w:rsidRPr="00896236">
        <w:rPr>
          <w:rFonts w:eastAsia="Times New Roman" w:cstheme="minorHAnsi"/>
          <w:sz w:val="24"/>
          <w:szCs w:val="24"/>
          <w:lang w:eastAsia="en-IE"/>
        </w:rPr>
        <w:t>From a list, respondents identified ‘More physical space’, ‘Smaller class groups’ and ‘more teachers’ as what they would most like to see to counter the workplace risk of COVID-19  </w:t>
      </w:r>
    </w:p>
    <w:p w14:paraId="476C04FA" w14:textId="5A42DF03" w:rsidR="00273D34" w:rsidRPr="00896236" w:rsidRDefault="00273D34" w:rsidP="00896236">
      <w:pPr>
        <w:numPr>
          <w:ilvl w:val="0"/>
          <w:numId w:val="45"/>
        </w:numPr>
        <w:spacing w:before="100" w:beforeAutospacing="1" w:after="225" w:line="360" w:lineRule="auto"/>
        <w:jc w:val="both"/>
        <w:rPr>
          <w:rFonts w:eastAsia="Times New Roman" w:cstheme="minorHAnsi"/>
          <w:sz w:val="24"/>
          <w:szCs w:val="24"/>
          <w:lang w:eastAsia="en-IE"/>
        </w:rPr>
      </w:pPr>
      <w:r w:rsidRPr="00896236">
        <w:rPr>
          <w:rFonts w:eastAsia="Times New Roman" w:cstheme="minorHAnsi"/>
          <w:sz w:val="24"/>
          <w:szCs w:val="24"/>
          <w:lang w:eastAsia="en-IE"/>
        </w:rPr>
        <w:t xml:space="preserve">52% do not believe that most students have the required ICT facilities to participate in remote learning should schools be required to close for </w:t>
      </w:r>
      <w:r w:rsidR="003F2ED9" w:rsidRPr="00896236">
        <w:rPr>
          <w:rFonts w:eastAsia="Times New Roman" w:cstheme="minorHAnsi"/>
          <w:sz w:val="24"/>
          <w:szCs w:val="24"/>
          <w:lang w:eastAsia="en-IE"/>
        </w:rPr>
        <w:t>a period</w:t>
      </w:r>
      <w:r w:rsidRPr="00896236">
        <w:rPr>
          <w:rFonts w:eastAsia="Times New Roman" w:cstheme="minorHAnsi"/>
          <w:sz w:val="24"/>
          <w:szCs w:val="24"/>
          <w:lang w:eastAsia="en-IE"/>
        </w:rPr>
        <w:t>  </w:t>
      </w:r>
    </w:p>
    <w:p w14:paraId="449D0738" w14:textId="0620B2C2" w:rsidR="00273D34" w:rsidRPr="00896236" w:rsidRDefault="003F2ED9" w:rsidP="00896236">
      <w:pPr>
        <w:spacing w:line="360" w:lineRule="auto"/>
        <w:jc w:val="both"/>
        <w:rPr>
          <w:rFonts w:cstheme="minorHAnsi"/>
          <w:sz w:val="24"/>
          <w:szCs w:val="24"/>
        </w:rPr>
      </w:pPr>
      <w:r w:rsidRPr="00896236">
        <w:rPr>
          <w:rFonts w:cstheme="minorHAnsi"/>
          <w:sz w:val="24"/>
          <w:szCs w:val="24"/>
        </w:rPr>
        <w:t>All</w:t>
      </w:r>
      <w:r w:rsidR="00D1662A" w:rsidRPr="00896236">
        <w:rPr>
          <w:rFonts w:cstheme="minorHAnsi"/>
          <w:sz w:val="24"/>
          <w:szCs w:val="24"/>
        </w:rPr>
        <w:t xml:space="preserve"> the above have a particular influence on students coming from higher education access under-represented groups.</w:t>
      </w:r>
      <w:r w:rsidR="0071478C" w:rsidRPr="00896236">
        <w:rPr>
          <w:rFonts w:cstheme="minorHAnsi"/>
          <w:sz w:val="24"/>
          <w:szCs w:val="24"/>
        </w:rPr>
        <w:t xml:space="preserve">  </w:t>
      </w:r>
    </w:p>
    <w:p w14:paraId="4ED6924D" w14:textId="77777777" w:rsidR="00D1662A" w:rsidRPr="00896236" w:rsidRDefault="00D1662A" w:rsidP="00896236">
      <w:pPr>
        <w:spacing w:line="360" w:lineRule="auto"/>
        <w:jc w:val="both"/>
        <w:rPr>
          <w:rFonts w:cstheme="minorHAnsi"/>
          <w:sz w:val="24"/>
          <w:szCs w:val="24"/>
        </w:rPr>
      </w:pPr>
    </w:p>
    <w:p w14:paraId="7588D74D" w14:textId="6DABF592" w:rsidR="0071478C" w:rsidRPr="00896236" w:rsidRDefault="003F2ED9" w:rsidP="00896236">
      <w:pPr>
        <w:spacing w:after="0" w:line="360" w:lineRule="auto"/>
        <w:jc w:val="both"/>
        <w:rPr>
          <w:rFonts w:cstheme="minorHAnsi"/>
          <w:sz w:val="24"/>
          <w:szCs w:val="24"/>
        </w:rPr>
      </w:pPr>
      <w:r w:rsidRPr="00896236">
        <w:rPr>
          <w:rFonts w:cstheme="minorHAnsi"/>
          <w:sz w:val="24"/>
          <w:szCs w:val="24"/>
        </w:rPr>
        <w:t>All</w:t>
      </w:r>
      <w:r w:rsidR="0071478C" w:rsidRPr="00896236">
        <w:rPr>
          <w:rFonts w:cstheme="minorHAnsi"/>
          <w:sz w:val="24"/>
          <w:szCs w:val="24"/>
        </w:rPr>
        <w:t xml:space="preserve"> Irish society is acutely conscious of the impact of COVID-19 and its attendant losses in life, health, and employment. We must guard against losses in the social and cultural fabric that binds our nation together. In which connection, the work of TUI members, both in education and as trade unionists, is vital. Indeed, the crisis highlights the centrality of public service and collective effort to any well-ordered society. The TUI earnestly hopes that those newly awakened to this reality do not soon forget it. For our part, we pay tribute and thanks to fellow public servants, in healthcare, policing and education most particularly, and indeed to all workers engaged in the provision of essential services. TUI members have risen magnificently to the challenge of maintaining education of the highest standard. Education is our greatest equalising and unifying endeavour and in the face of enormous difficulties </w:t>
      </w:r>
      <w:r w:rsidR="00E14A80" w:rsidRPr="00896236">
        <w:rPr>
          <w:rFonts w:cstheme="minorHAnsi"/>
          <w:sz w:val="24"/>
          <w:szCs w:val="24"/>
        </w:rPr>
        <w:t xml:space="preserve">our members </w:t>
      </w:r>
      <w:r w:rsidR="0071478C" w:rsidRPr="00896236">
        <w:rPr>
          <w:rFonts w:cstheme="minorHAnsi"/>
          <w:sz w:val="24"/>
          <w:szCs w:val="24"/>
        </w:rPr>
        <w:t xml:space="preserve">have continued to inspire curiosity and imagination, to release potential and to unfold opportunities and possibilities. The TUI will beware of any complacent, or indeed malign, assumption by Managements or Government that the extraordinary efforts made by school staff in response to the emergency form a template for future work. We will ensure </w:t>
      </w:r>
      <w:r w:rsidR="0071478C" w:rsidRPr="00896236">
        <w:rPr>
          <w:rFonts w:cstheme="minorHAnsi"/>
          <w:sz w:val="24"/>
          <w:szCs w:val="24"/>
        </w:rPr>
        <w:lastRenderedPageBreak/>
        <w:t xml:space="preserve">that our no-precedent stipulations, and the written assurances from Government, Departments and Managements to the same effect, will be honoured. </w:t>
      </w:r>
      <w:r w:rsidR="00425AD7" w:rsidRPr="00896236">
        <w:rPr>
          <w:rFonts w:cstheme="minorHAnsi"/>
          <w:sz w:val="24"/>
          <w:szCs w:val="24"/>
        </w:rPr>
        <w:t>ERTL</w:t>
      </w:r>
      <w:r w:rsidR="0071478C" w:rsidRPr="00896236">
        <w:rPr>
          <w:rFonts w:cstheme="minorHAnsi"/>
          <w:sz w:val="24"/>
          <w:szCs w:val="24"/>
        </w:rPr>
        <w:t xml:space="preserve"> was indeed only an emergency measure.  This has been acknowledged by the Minister for Education in her address to TUI Congress in April 2021.</w:t>
      </w:r>
    </w:p>
    <w:p w14:paraId="58F0978D" w14:textId="77777777" w:rsidR="0071478C" w:rsidRPr="00896236" w:rsidRDefault="0071478C" w:rsidP="00896236">
      <w:pPr>
        <w:spacing w:line="360" w:lineRule="auto"/>
        <w:jc w:val="both"/>
        <w:rPr>
          <w:rFonts w:cstheme="minorHAnsi"/>
          <w:bCs/>
          <w:sz w:val="24"/>
          <w:szCs w:val="24"/>
          <w:u w:val="single"/>
        </w:rPr>
      </w:pPr>
    </w:p>
    <w:p w14:paraId="572ACF7A" w14:textId="01E2129C" w:rsidR="00273D34" w:rsidRPr="00896236" w:rsidRDefault="00273D34" w:rsidP="00896236">
      <w:pPr>
        <w:spacing w:line="360" w:lineRule="auto"/>
        <w:jc w:val="both"/>
        <w:rPr>
          <w:rFonts w:cstheme="minorHAnsi"/>
          <w:b/>
          <w:sz w:val="24"/>
          <w:szCs w:val="24"/>
          <w:u w:val="single"/>
        </w:rPr>
      </w:pPr>
      <w:r w:rsidRPr="00896236">
        <w:rPr>
          <w:rFonts w:cstheme="minorHAnsi"/>
          <w:b/>
          <w:sz w:val="24"/>
          <w:szCs w:val="24"/>
          <w:u w:val="single"/>
        </w:rPr>
        <w:t xml:space="preserve">National obsession with third level progression  </w:t>
      </w:r>
    </w:p>
    <w:p w14:paraId="206656E3" w14:textId="77777777" w:rsidR="00273D34" w:rsidRPr="00896236" w:rsidRDefault="00273D34" w:rsidP="00896236">
      <w:pPr>
        <w:spacing w:line="360" w:lineRule="auto"/>
        <w:jc w:val="both"/>
        <w:rPr>
          <w:rFonts w:cstheme="minorHAnsi"/>
          <w:sz w:val="24"/>
          <w:szCs w:val="24"/>
        </w:rPr>
      </w:pPr>
      <w:r w:rsidRPr="00896236">
        <w:rPr>
          <w:rFonts w:cstheme="minorHAnsi"/>
          <w:sz w:val="24"/>
          <w:szCs w:val="24"/>
        </w:rPr>
        <w:t xml:space="preserve">Any reform of Senior Cycle must cater for all students and their unique talents. At present, the range of levels across all Senior Cycle programmes caters for a wide breadth of academic ability. The Leaving Certificate Applied (LCA) facilitates students who may not otherwise have remained in school while the Leaving Certificate Vocational Programme (LCVP), with its practical elements and second components, fosters key skills. Future reform must not marginalise or exclude any cohort of learners; it must be inclusive in nature. </w:t>
      </w:r>
    </w:p>
    <w:p w14:paraId="0AACD55C" w14:textId="77777777" w:rsidR="00425AD7" w:rsidRPr="00896236" w:rsidRDefault="00425AD7" w:rsidP="00896236">
      <w:pPr>
        <w:spacing w:line="360" w:lineRule="auto"/>
        <w:jc w:val="both"/>
        <w:rPr>
          <w:rFonts w:cstheme="minorHAnsi"/>
          <w:sz w:val="24"/>
          <w:szCs w:val="24"/>
        </w:rPr>
      </w:pPr>
    </w:p>
    <w:p w14:paraId="111FF498" w14:textId="65F32354" w:rsidR="00273D34" w:rsidRPr="00896236" w:rsidRDefault="00273D34" w:rsidP="00896236">
      <w:pPr>
        <w:spacing w:line="360" w:lineRule="auto"/>
        <w:jc w:val="both"/>
        <w:rPr>
          <w:rFonts w:cstheme="minorHAnsi"/>
          <w:sz w:val="24"/>
          <w:szCs w:val="24"/>
        </w:rPr>
      </w:pPr>
      <w:r w:rsidRPr="00896236">
        <w:rPr>
          <w:rFonts w:cstheme="minorHAnsi"/>
          <w:sz w:val="24"/>
          <w:szCs w:val="24"/>
        </w:rPr>
        <w:t xml:space="preserve">It is worth highlighting that the excessive focus on CAO points is not a flaw of the current Senior Cycle itself. </w:t>
      </w:r>
      <w:r w:rsidR="00E14A80" w:rsidRPr="00896236">
        <w:rPr>
          <w:rFonts w:cstheme="minorHAnsi"/>
          <w:sz w:val="24"/>
          <w:szCs w:val="24"/>
        </w:rPr>
        <w:t>As noted above, i</w:t>
      </w:r>
      <w:r w:rsidRPr="00896236">
        <w:rPr>
          <w:rFonts w:cstheme="minorHAnsi"/>
          <w:sz w:val="24"/>
          <w:szCs w:val="24"/>
        </w:rPr>
        <w:t xml:space="preserve">t is an unfortunate by-product of our national obsession with progression to third level, an obsession that distorts the true meaning of education and invites unfair and invalid comparisons between schools.  This creates </w:t>
      </w:r>
      <w:proofErr w:type="gramStart"/>
      <w:r w:rsidRPr="00896236">
        <w:rPr>
          <w:rFonts w:cstheme="minorHAnsi"/>
          <w:sz w:val="24"/>
          <w:szCs w:val="24"/>
        </w:rPr>
        <w:t>particular difficulties</w:t>
      </w:r>
      <w:proofErr w:type="gramEnd"/>
      <w:r w:rsidRPr="00896236">
        <w:rPr>
          <w:rFonts w:cstheme="minorHAnsi"/>
          <w:sz w:val="24"/>
          <w:szCs w:val="24"/>
        </w:rPr>
        <w:t xml:space="preserve"> for the LCA programme.</w:t>
      </w:r>
    </w:p>
    <w:p w14:paraId="595CF55A" w14:textId="77777777" w:rsidR="0055001B" w:rsidRPr="00896236" w:rsidRDefault="0055001B" w:rsidP="00896236">
      <w:pPr>
        <w:spacing w:after="0" w:line="360" w:lineRule="auto"/>
        <w:jc w:val="both"/>
        <w:rPr>
          <w:rFonts w:cstheme="minorHAnsi"/>
          <w:sz w:val="24"/>
          <w:szCs w:val="24"/>
        </w:rPr>
      </w:pPr>
    </w:p>
    <w:p w14:paraId="4F627554" w14:textId="77777777" w:rsidR="008C25EE" w:rsidRPr="00896236" w:rsidRDefault="008C25EE" w:rsidP="00896236">
      <w:pPr>
        <w:autoSpaceDE w:val="0"/>
        <w:autoSpaceDN w:val="0"/>
        <w:adjustRightInd w:val="0"/>
        <w:spacing w:after="0" w:line="360" w:lineRule="auto"/>
        <w:jc w:val="both"/>
        <w:rPr>
          <w:rFonts w:cstheme="minorHAnsi"/>
          <w:b/>
          <w:bCs/>
          <w:sz w:val="24"/>
          <w:szCs w:val="24"/>
          <w:u w:val="single"/>
        </w:rPr>
      </w:pPr>
      <w:r w:rsidRPr="00896236">
        <w:rPr>
          <w:rFonts w:cstheme="minorHAnsi"/>
          <w:b/>
          <w:bCs/>
          <w:sz w:val="24"/>
          <w:szCs w:val="24"/>
          <w:u w:val="single"/>
        </w:rPr>
        <w:t>Benefits of Higher Education</w:t>
      </w:r>
    </w:p>
    <w:p w14:paraId="320BB436" w14:textId="6DBB74F4" w:rsidR="008C25EE" w:rsidRPr="00896236" w:rsidRDefault="00F46C7F" w:rsidP="00896236">
      <w:pPr>
        <w:autoSpaceDE w:val="0"/>
        <w:autoSpaceDN w:val="0"/>
        <w:adjustRightInd w:val="0"/>
        <w:spacing w:after="0" w:line="360" w:lineRule="auto"/>
        <w:jc w:val="both"/>
        <w:rPr>
          <w:rFonts w:cstheme="minorHAnsi"/>
          <w:sz w:val="24"/>
          <w:szCs w:val="24"/>
        </w:rPr>
      </w:pPr>
      <w:r w:rsidRPr="00896236">
        <w:rPr>
          <w:rFonts w:cstheme="minorHAnsi"/>
          <w:sz w:val="24"/>
          <w:szCs w:val="24"/>
        </w:rPr>
        <w:t>According to the CSO (20</w:t>
      </w:r>
      <w:r w:rsidR="00836BCA" w:rsidRPr="00896236">
        <w:rPr>
          <w:rFonts w:cstheme="minorHAnsi"/>
          <w:sz w:val="24"/>
          <w:szCs w:val="24"/>
        </w:rPr>
        <w:t>1</w:t>
      </w:r>
      <w:r w:rsidRPr="00896236">
        <w:rPr>
          <w:rFonts w:cstheme="minorHAnsi"/>
          <w:sz w:val="24"/>
          <w:szCs w:val="24"/>
        </w:rPr>
        <w:t xml:space="preserve">8), </w:t>
      </w:r>
      <w:r w:rsidR="008C25EE" w:rsidRPr="00896236">
        <w:rPr>
          <w:rFonts w:cstheme="minorHAnsi"/>
          <w:sz w:val="24"/>
          <w:szCs w:val="24"/>
        </w:rPr>
        <w:t xml:space="preserve">Ireland has higher than average rates of third level attainment, and they have increased significantly between 2005 and 2015. In 2015, 52% of Irish </w:t>
      </w:r>
      <w:r w:rsidR="003F2ED9" w:rsidRPr="00896236">
        <w:rPr>
          <w:rFonts w:cstheme="minorHAnsi"/>
          <w:sz w:val="24"/>
          <w:szCs w:val="24"/>
        </w:rPr>
        <w:t>25–34-year-olds</w:t>
      </w:r>
      <w:r w:rsidR="008C25EE" w:rsidRPr="00896236">
        <w:rPr>
          <w:rFonts w:cstheme="minorHAnsi"/>
          <w:sz w:val="24"/>
          <w:szCs w:val="24"/>
        </w:rPr>
        <w:t xml:space="preserve"> had completed third level education, compared with the OECD average of 42%. Overall, levels of third level attainment for Irish </w:t>
      </w:r>
      <w:r w:rsidR="003F2ED9" w:rsidRPr="00896236">
        <w:rPr>
          <w:rFonts w:cstheme="minorHAnsi"/>
          <w:sz w:val="24"/>
          <w:szCs w:val="24"/>
        </w:rPr>
        <w:t>25–64-year-olds</w:t>
      </w:r>
      <w:r w:rsidR="008C25EE" w:rsidRPr="00896236">
        <w:rPr>
          <w:rFonts w:cstheme="minorHAnsi"/>
          <w:sz w:val="24"/>
          <w:szCs w:val="24"/>
        </w:rPr>
        <w:t xml:space="preserve"> have increased from 29% in 2005 to 43% in 2015 (OECD figures are 27% to 35% respectively). Entry rates (the proportion of people who are expected to enter third level during their lifetime) are also significantly higher in Ireland than across the OECD as a whole (81% vs 59% OECD for a </w:t>
      </w:r>
      <w:proofErr w:type="gramStart"/>
      <w:r w:rsidR="008C25EE" w:rsidRPr="00896236">
        <w:rPr>
          <w:rFonts w:cstheme="minorHAnsi"/>
          <w:sz w:val="24"/>
          <w:szCs w:val="24"/>
        </w:rPr>
        <w:t>Bachelor’s Degree</w:t>
      </w:r>
      <w:proofErr w:type="gramEnd"/>
      <w:r w:rsidR="008C25EE" w:rsidRPr="00896236">
        <w:rPr>
          <w:rFonts w:cstheme="minorHAnsi"/>
          <w:sz w:val="24"/>
          <w:szCs w:val="24"/>
        </w:rPr>
        <w:t>).</w:t>
      </w:r>
    </w:p>
    <w:p w14:paraId="48A90C89" w14:textId="77777777" w:rsidR="00425AD7" w:rsidRPr="00896236" w:rsidRDefault="00425AD7" w:rsidP="00896236">
      <w:pPr>
        <w:autoSpaceDE w:val="0"/>
        <w:autoSpaceDN w:val="0"/>
        <w:adjustRightInd w:val="0"/>
        <w:spacing w:after="0" w:line="360" w:lineRule="auto"/>
        <w:jc w:val="both"/>
        <w:rPr>
          <w:rFonts w:cstheme="minorHAnsi"/>
          <w:sz w:val="24"/>
          <w:szCs w:val="24"/>
        </w:rPr>
      </w:pPr>
    </w:p>
    <w:p w14:paraId="39380922" w14:textId="4C301AD6" w:rsidR="008C25EE" w:rsidRPr="00896236" w:rsidRDefault="00F46C7F" w:rsidP="00896236">
      <w:pPr>
        <w:autoSpaceDE w:val="0"/>
        <w:autoSpaceDN w:val="0"/>
        <w:adjustRightInd w:val="0"/>
        <w:spacing w:after="0" w:line="360" w:lineRule="auto"/>
        <w:jc w:val="both"/>
        <w:rPr>
          <w:rFonts w:cstheme="minorHAnsi"/>
          <w:sz w:val="24"/>
          <w:szCs w:val="24"/>
        </w:rPr>
      </w:pPr>
      <w:r w:rsidRPr="00896236">
        <w:rPr>
          <w:rFonts w:cstheme="minorHAnsi"/>
          <w:sz w:val="24"/>
          <w:szCs w:val="24"/>
        </w:rPr>
        <w:t>CSO</w:t>
      </w:r>
      <w:r w:rsidR="008C25EE" w:rsidRPr="00896236">
        <w:rPr>
          <w:rFonts w:cstheme="minorHAnsi"/>
          <w:sz w:val="24"/>
          <w:szCs w:val="24"/>
        </w:rPr>
        <w:t xml:space="preserve"> Statistics </w:t>
      </w:r>
      <w:r w:rsidRPr="00896236">
        <w:rPr>
          <w:rFonts w:cstheme="minorHAnsi"/>
          <w:sz w:val="24"/>
          <w:szCs w:val="24"/>
        </w:rPr>
        <w:t xml:space="preserve">(CSO, 2018) </w:t>
      </w:r>
      <w:r w:rsidR="008C25EE" w:rsidRPr="00896236">
        <w:rPr>
          <w:rFonts w:cstheme="minorHAnsi"/>
          <w:sz w:val="24"/>
          <w:szCs w:val="24"/>
        </w:rPr>
        <w:t xml:space="preserve">show that graduates from Irish higher education institutions experience relatively high rates of employment. In 2011, a CSO study noted that the </w:t>
      </w:r>
      <w:r w:rsidR="008C25EE" w:rsidRPr="00896236">
        <w:rPr>
          <w:rFonts w:cstheme="minorHAnsi"/>
          <w:sz w:val="24"/>
          <w:szCs w:val="24"/>
        </w:rPr>
        <w:lastRenderedPageBreak/>
        <w:t xml:space="preserve">unemployment rate for higher education graduates was 7%, and this compared with 18% for those with a post-Leaving Certificate qualification and 14% with a higher secondary education. Similarly, the employment rate for higher education graduates was 81%, compared with 64% for those with a post-Leaving Certificate qualification and 65% for those with higher secondary education only. Based on 2016 Q4 CSO Quarterly National Household Survey data, the unemployment rate for those with higher education was 3.7%. The figure was 9.2% for those with an upper secondary education and 12.7% for those with a lower secondary education. As with the </w:t>
      </w:r>
      <w:proofErr w:type="gramStart"/>
      <w:r w:rsidR="008C25EE" w:rsidRPr="00896236">
        <w:rPr>
          <w:rFonts w:cstheme="minorHAnsi"/>
          <w:sz w:val="24"/>
          <w:szCs w:val="24"/>
        </w:rPr>
        <w:t>OECD as a whole, Irish</w:t>
      </w:r>
      <w:proofErr w:type="gramEnd"/>
      <w:r w:rsidR="008C25EE" w:rsidRPr="00896236">
        <w:rPr>
          <w:rFonts w:cstheme="minorHAnsi"/>
          <w:sz w:val="24"/>
          <w:szCs w:val="24"/>
        </w:rPr>
        <w:t xml:space="preserve"> graduates have lower unemployment and higher employment rates than those without a third level qualification; and employment rates for graduates are in line with OECD averages</w:t>
      </w:r>
      <w:r w:rsidR="00836BCA" w:rsidRPr="00896236">
        <w:rPr>
          <w:rFonts w:cstheme="minorHAnsi"/>
          <w:sz w:val="24"/>
          <w:szCs w:val="24"/>
        </w:rPr>
        <w:t xml:space="preserve"> </w:t>
      </w:r>
      <w:r w:rsidR="008C25EE" w:rsidRPr="00896236">
        <w:rPr>
          <w:rFonts w:cstheme="minorHAnsi"/>
          <w:sz w:val="24"/>
          <w:szCs w:val="24"/>
        </w:rPr>
        <w:t>(CSO, 2018)</w:t>
      </w:r>
      <w:r w:rsidR="00836BCA" w:rsidRPr="00896236">
        <w:rPr>
          <w:rFonts w:cstheme="minorHAnsi"/>
          <w:sz w:val="24"/>
          <w:szCs w:val="24"/>
        </w:rPr>
        <w:t>.  The same CS</w:t>
      </w:r>
      <w:r w:rsidR="00E14A80" w:rsidRPr="00896236">
        <w:rPr>
          <w:rFonts w:cstheme="minorHAnsi"/>
          <w:sz w:val="24"/>
          <w:szCs w:val="24"/>
        </w:rPr>
        <w:t>O</w:t>
      </w:r>
      <w:r w:rsidR="00836BCA" w:rsidRPr="00896236">
        <w:rPr>
          <w:rFonts w:cstheme="minorHAnsi"/>
          <w:sz w:val="24"/>
          <w:szCs w:val="24"/>
        </w:rPr>
        <w:t xml:space="preserve"> report (2018) found that t</w:t>
      </w:r>
      <w:r w:rsidR="008C25EE" w:rsidRPr="00896236">
        <w:rPr>
          <w:rFonts w:cstheme="minorHAnsi"/>
          <w:sz w:val="24"/>
          <w:szCs w:val="24"/>
        </w:rPr>
        <w:t>he earnings advantage for third level education in Ireland was higher than the OECD average in 2015: on average third level graduates in Ireland earned 66% more than those with just an upper secondary education, compared to a differential of 60% across the OECD.</w:t>
      </w:r>
    </w:p>
    <w:p w14:paraId="0839F229" w14:textId="77777777" w:rsidR="008C25EE" w:rsidRPr="00896236" w:rsidRDefault="008C25EE" w:rsidP="00896236">
      <w:pPr>
        <w:autoSpaceDE w:val="0"/>
        <w:autoSpaceDN w:val="0"/>
        <w:adjustRightInd w:val="0"/>
        <w:spacing w:after="0" w:line="360" w:lineRule="auto"/>
        <w:jc w:val="both"/>
        <w:rPr>
          <w:rFonts w:cstheme="minorHAnsi"/>
          <w:b/>
          <w:bCs/>
          <w:sz w:val="24"/>
          <w:szCs w:val="24"/>
          <w:u w:val="single"/>
        </w:rPr>
      </w:pPr>
    </w:p>
    <w:p w14:paraId="62796131" w14:textId="7E8A2F50" w:rsidR="00404331" w:rsidRPr="00896236" w:rsidRDefault="00836BCA" w:rsidP="00896236">
      <w:pPr>
        <w:pStyle w:val="Heading3"/>
        <w:spacing w:line="360" w:lineRule="auto"/>
        <w:jc w:val="both"/>
        <w:rPr>
          <w:rFonts w:asciiTheme="minorHAnsi" w:eastAsiaTheme="minorHAnsi" w:hAnsiTheme="minorHAnsi" w:cstheme="minorHAnsi"/>
          <w:color w:val="auto"/>
        </w:rPr>
      </w:pPr>
      <w:r w:rsidRPr="00896236">
        <w:rPr>
          <w:rFonts w:asciiTheme="minorHAnsi" w:eastAsiaTheme="minorHAnsi" w:hAnsiTheme="minorHAnsi" w:cstheme="minorHAnsi"/>
          <w:color w:val="auto"/>
        </w:rPr>
        <w:t xml:space="preserve">In a study in Ireland, </w:t>
      </w:r>
      <w:proofErr w:type="spellStart"/>
      <w:r w:rsidRPr="00896236">
        <w:rPr>
          <w:rFonts w:asciiTheme="minorHAnsi" w:eastAsiaTheme="minorHAnsi" w:hAnsiTheme="minorHAnsi" w:cstheme="minorHAnsi"/>
          <w:color w:val="auto"/>
        </w:rPr>
        <w:t>Indecon</w:t>
      </w:r>
      <w:proofErr w:type="spellEnd"/>
      <w:r w:rsidRPr="00896236">
        <w:rPr>
          <w:rFonts w:asciiTheme="minorHAnsi" w:eastAsiaTheme="minorHAnsi" w:hAnsiTheme="minorHAnsi" w:cstheme="minorHAnsi"/>
          <w:color w:val="auto"/>
        </w:rPr>
        <w:t xml:space="preserve"> (2019) found that t</w:t>
      </w:r>
      <w:r w:rsidR="00404331" w:rsidRPr="00896236">
        <w:rPr>
          <w:rFonts w:asciiTheme="minorHAnsi" w:eastAsiaTheme="minorHAnsi" w:hAnsiTheme="minorHAnsi" w:cstheme="minorHAnsi"/>
          <w:color w:val="auto"/>
        </w:rPr>
        <w:t xml:space="preserve">he estimated net graduate premium (to the individual) of an undergraduate degree is €106,000 (€118k male and €96k female).  The additional net graduate premium (over and above degree) for a taught </w:t>
      </w:r>
      <w:proofErr w:type="gramStart"/>
      <w:r w:rsidR="00404331" w:rsidRPr="00896236">
        <w:rPr>
          <w:rFonts w:asciiTheme="minorHAnsi" w:eastAsiaTheme="minorHAnsi" w:hAnsiTheme="minorHAnsi" w:cstheme="minorHAnsi"/>
          <w:color w:val="auto"/>
        </w:rPr>
        <w:t>Masters</w:t>
      </w:r>
      <w:proofErr w:type="gramEnd"/>
      <w:r w:rsidR="00404331" w:rsidRPr="00896236">
        <w:rPr>
          <w:rFonts w:asciiTheme="minorHAnsi" w:eastAsiaTheme="minorHAnsi" w:hAnsiTheme="minorHAnsi" w:cstheme="minorHAnsi"/>
          <w:color w:val="auto"/>
        </w:rPr>
        <w:t xml:space="preserve"> is €40k (Male €36k, female €44k) and €116k for a Ph.D. (€118k for a male and €115k for a female).  For a representative student completing a full-time undergraduate degree the net Exchequer benefit is estimated at €62,000 (male €75k, female €51k), on average per graduate.</w:t>
      </w:r>
    </w:p>
    <w:p w14:paraId="659274DB" w14:textId="77777777" w:rsidR="00404331" w:rsidRPr="00896236" w:rsidRDefault="00404331" w:rsidP="00896236">
      <w:pPr>
        <w:spacing w:after="0" w:line="360" w:lineRule="auto"/>
        <w:jc w:val="both"/>
        <w:rPr>
          <w:rFonts w:cstheme="minorHAnsi"/>
          <w:sz w:val="24"/>
          <w:szCs w:val="24"/>
          <w:lang w:val="en-GB"/>
        </w:rPr>
      </w:pPr>
    </w:p>
    <w:p w14:paraId="5CDAF2B7" w14:textId="0F3BE7D8" w:rsidR="008C25EE" w:rsidRPr="00896236" w:rsidRDefault="008C25EE" w:rsidP="00896236">
      <w:pPr>
        <w:autoSpaceDE w:val="0"/>
        <w:autoSpaceDN w:val="0"/>
        <w:adjustRightInd w:val="0"/>
        <w:spacing w:after="0" w:line="360" w:lineRule="auto"/>
        <w:jc w:val="both"/>
        <w:rPr>
          <w:rFonts w:cstheme="minorHAnsi"/>
          <w:b/>
          <w:bCs/>
          <w:sz w:val="24"/>
          <w:szCs w:val="24"/>
          <w:u w:val="single"/>
        </w:rPr>
      </w:pPr>
      <w:r w:rsidRPr="00896236">
        <w:rPr>
          <w:rFonts w:cstheme="minorHAnsi"/>
          <w:b/>
          <w:bCs/>
          <w:sz w:val="24"/>
          <w:szCs w:val="24"/>
          <w:u w:val="single"/>
        </w:rPr>
        <w:t>Distinctive Features of the IoT/TU Sector</w:t>
      </w:r>
    </w:p>
    <w:p w14:paraId="6D90BDE6" w14:textId="59530EB1" w:rsidR="008C25EE" w:rsidRPr="00896236" w:rsidRDefault="008C25EE" w:rsidP="00896236">
      <w:pPr>
        <w:autoSpaceDE w:val="0"/>
        <w:autoSpaceDN w:val="0"/>
        <w:adjustRightInd w:val="0"/>
        <w:spacing w:after="0" w:line="360" w:lineRule="auto"/>
        <w:jc w:val="both"/>
        <w:rPr>
          <w:rFonts w:cstheme="minorHAnsi"/>
          <w:sz w:val="24"/>
          <w:szCs w:val="24"/>
        </w:rPr>
      </w:pPr>
      <w:r w:rsidRPr="00896236">
        <w:rPr>
          <w:rFonts w:cstheme="minorHAnsi"/>
          <w:sz w:val="24"/>
          <w:szCs w:val="24"/>
        </w:rPr>
        <w:t>According to</w:t>
      </w:r>
      <w:r w:rsidR="007E2CA8" w:rsidRPr="00896236">
        <w:rPr>
          <w:rFonts w:cstheme="minorHAnsi"/>
          <w:sz w:val="24"/>
          <w:szCs w:val="24"/>
        </w:rPr>
        <w:t xml:space="preserve"> Erskine, S. &amp; Harmon, D. (2020: 11), </w:t>
      </w:r>
      <w:r w:rsidRPr="00896236">
        <w:rPr>
          <w:rFonts w:cstheme="minorHAnsi"/>
          <w:sz w:val="24"/>
          <w:szCs w:val="24"/>
        </w:rPr>
        <w:t>“Institutes of Technology appear to be more willing to recognise competences and experiences outside of education than Universities in admitting students to their programmes.”</w:t>
      </w:r>
      <w:r w:rsidRPr="00896236">
        <w:rPr>
          <w:rFonts w:cstheme="minorHAnsi"/>
          <w:sz w:val="24"/>
          <w:szCs w:val="24"/>
        </w:rPr>
        <w:tab/>
      </w:r>
      <w:r w:rsidR="007E2CA8" w:rsidRPr="00896236">
        <w:rPr>
          <w:rFonts w:cstheme="minorHAnsi"/>
          <w:sz w:val="24"/>
          <w:szCs w:val="24"/>
        </w:rPr>
        <w:t xml:space="preserve">Erskine, S. &amp; Harmon, D. (2020: 55) </w:t>
      </w:r>
      <w:r w:rsidRPr="00896236">
        <w:rPr>
          <w:rFonts w:cstheme="minorHAnsi"/>
          <w:sz w:val="24"/>
          <w:szCs w:val="24"/>
        </w:rPr>
        <w:t xml:space="preserve">also notes that “students in Institutes of Technology appear </w:t>
      </w:r>
      <w:r w:rsidR="00E14A80" w:rsidRPr="00896236">
        <w:rPr>
          <w:rFonts w:cstheme="minorHAnsi"/>
          <w:sz w:val="24"/>
          <w:szCs w:val="24"/>
        </w:rPr>
        <w:t xml:space="preserve">to </w:t>
      </w:r>
      <w:r w:rsidRPr="00896236">
        <w:rPr>
          <w:rFonts w:cstheme="minorHAnsi"/>
          <w:sz w:val="24"/>
          <w:szCs w:val="24"/>
        </w:rPr>
        <w:t>get along better with their teaching staff than students in Universities. Similar patterns emerge for part-time students over full-time students, and for postgraduates over undergraduates”</w:t>
      </w:r>
      <w:r w:rsidR="007E2CA8" w:rsidRPr="00896236">
        <w:rPr>
          <w:rFonts w:cstheme="minorHAnsi"/>
          <w:sz w:val="24"/>
          <w:szCs w:val="24"/>
        </w:rPr>
        <w:t>.</w:t>
      </w:r>
    </w:p>
    <w:p w14:paraId="23197BEB" w14:textId="77777777" w:rsidR="0096518E" w:rsidRPr="00896236" w:rsidRDefault="0096518E" w:rsidP="00896236">
      <w:pPr>
        <w:spacing w:line="360" w:lineRule="auto"/>
        <w:jc w:val="both"/>
        <w:rPr>
          <w:rFonts w:cstheme="minorHAnsi"/>
          <w:b/>
          <w:bCs/>
          <w:sz w:val="24"/>
          <w:szCs w:val="24"/>
          <w:u w:val="single"/>
        </w:rPr>
      </w:pPr>
    </w:p>
    <w:p w14:paraId="2536B93B" w14:textId="66E6F675" w:rsidR="0096518E" w:rsidRPr="00896236" w:rsidRDefault="0096518E" w:rsidP="00896236">
      <w:pPr>
        <w:autoSpaceDE w:val="0"/>
        <w:autoSpaceDN w:val="0"/>
        <w:adjustRightInd w:val="0"/>
        <w:spacing w:after="0" w:line="360" w:lineRule="auto"/>
        <w:jc w:val="both"/>
        <w:rPr>
          <w:rFonts w:eastAsiaTheme="minorEastAsia" w:cstheme="minorHAnsi"/>
          <w:sz w:val="24"/>
          <w:szCs w:val="24"/>
          <w:lang w:eastAsia="en-IE"/>
        </w:rPr>
      </w:pPr>
      <w:r w:rsidRPr="00896236">
        <w:rPr>
          <w:rFonts w:cstheme="minorHAnsi"/>
          <w:bCs/>
          <w:sz w:val="24"/>
          <w:szCs w:val="24"/>
        </w:rPr>
        <w:lastRenderedPageBreak/>
        <w:t>DES (2019)</w:t>
      </w:r>
      <w:r w:rsidR="007E2CA8" w:rsidRPr="00896236">
        <w:rPr>
          <w:rFonts w:cstheme="minorHAnsi"/>
          <w:bCs/>
          <w:sz w:val="24"/>
          <w:szCs w:val="24"/>
        </w:rPr>
        <w:t xml:space="preserve"> has stated that in 2017 t</w:t>
      </w:r>
      <w:r w:rsidRPr="00896236">
        <w:rPr>
          <w:rFonts w:eastAsiaTheme="minorEastAsia" w:cstheme="minorHAnsi"/>
          <w:bCs/>
          <w:sz w:val="24"/>
          <w:szCs w:val="24"/>
          <w:lang w:eastAsia="en-IE"/>
        </w:rPr>
        <w:t>here</w:t>
      </w:r>
      <w:r w:rsidRPr="00896236">
        <w:rPr>
          <w:rFonts w:eastAsiaTheme="minorEastAsia" w:cstheme="minorHAnsi"/>
          <w:sz w:val="24"/>
          <w:szCs w:val="24"/>
          <w:lang w:eastAsia="en-IE"/>
        </w:rPr>
        <w:t xml:space="preserve"> were 16,649 part-time students in university, and 23,452 part-time students in IoTs.</w:t>
      </w:r>
      <w:r w:rsidR="007E2CA8" w:rsidRPr="00896236">
        <w:rPr>
          <w:rFonts w:eastAsiaTheme="minorEastAsia" w:cstheme="minorHAnsi"/>
          <w:sz w:val="24"/>
          <w:szCs w:val="24"/>
          <w:lang w:eastAsia="en-IE"/>
        </w:rPr>
        <w:t xml:space="preserve">  Hence part-time students are significantly more likely to attend the IoT/TU sector</w:t>
      </w:r>
      <w:r w:rsidR="00A71439" w:rsidRPr="00896236">
        <w:rPr>
          <w:rFonts w:eastAsiaTheme="minorEastAsia" w:cstheme="minorHAnsi"/>
          <w:sz w:val="24"/>
          <w:szCs w:val="24"/>
          <w:lang w:eastAsia="en-IE"/>
        </w:rPr>
        <w:t xml:space="preserve"> as universities have 1.33 times the number of students overall compared to the IoT/TU sector (HEA, 2017)</w:t>
      </w:r>
      <w:r w:rsidR="007E2CA8" w:rsidRPr="00896236">
        <w:rPr>
          <w:rFonts w:eastAsiaTheme="minorEastAsia" w:cstheme="minorHAnsi"/>
          <w:sz w:val="24"/>
          <w:szCs w:val="24"/>
          <w:lang w:eastAsia="en-IE"/>
        </w:rPr>
        <w:t>.  Part-time education is an important entry point to HE for students from under-represented groups especially mature students.</w:t>
      </w:r>
    </w:p>
    <w:p w14:paraId="3F6CD7F6" w14:textId="77777777" w:rsidR="0096518E" w:rsidRPr="00896236" w:rsidRDefault="0096518E" w:rsidP="00896236">
      <w:pPr>
        <w:autoSpaceDE w:val="0"/>
        <w:autoSpaceDN w:val="0"/>
        <w:adjustRightInd w:val="0"/>
        <w:spacing w:after="0" w:line="360" w:lineRule="auto"/>
        <w:jc w:val="both"/>
        <w:rPr>
          <w:rFonts w:cstheme="minorHAnsi"/>
          <w:sz w:val="24"/>
          <w:szCs w:val="24"/>
        </w:rPr>
      </w:pPr>
    </w:p>
    <w:p w14:paraId="3E378788" w14:textId="0354BDEE" w:rsidR="0096518E" w:rsidRPr="00896236" w:rsidRDefault="0096518E" w:rsidP="00896236">
      <w:pPr>
        <w:autoSpaceDE w:val="0"/>
        <w:autoSpaceDN w:val="0"/>
        <w:adjustRightInd w:val="0"/>
        <w:spacing w:after="0" w:line="360" w:lineRule="auto"/>
        <w:jc w:val="both"/>
        <w:rPr>
          <w:rFonts w:cstheme="minorHAnsi"/>
          <w:sz w:val="24"/>
          <w:szCs w:val="24"/>
        </w:rPr>
      </w:pPr>
      <w:r w:rsidRPr="00896236">
        <w:rPr>
          <w:rFonts w:cstheme="minorHAnsi"/>
          <w:sz w:val="24"/>
          <w:szCs w:val="24"/>
        </w:rPr>
        <w:t>According to Liston et. al. (2018), IoTs have more male entrants than female (in contrast to the situation in the universities).  Guidance education is important before and during all stages of education.  On average 14% of students do not progress from one year of their course to the next.  The rates are especially high in Level 6 and Level 7, and in the IoTs.  However, there is no statistical difference in non-progression in the IoTs vis-à-vis the universities when you adjust for the more diverse student population in the IoTs.  The strongest predictor of non-progression is prior educational attainment.</w:t>
      </w:r>
      <w:r w:rsidR="00E14A80" w:rsidRPr="00896236">
        <w:rPr>
          <w:rFonts w:cstheme="minorHAnsi"/>
          <w:sz w:val="24"/>
          <w:szCs w:val="24"/>
        </w:rPr>
        <w:t xml:space="preserve">  Access to comprehensive guidance support, in school/FE/HE and community settings</w:t>
      </w:r>
      <w:r w:rsidR="0052098E" w:rsidRPr="00896236">
        <w:rPr>
          <w:rFonts w:cstheme="minorHAnsi"/>
          <w:sz w:val="24"/>
          <w:szCs w:val="24"/>
        </w:rPr>
        <w:t>, can reduce the levels of non-completion of HE courses by students.</w:t>
      </w:r>
    </w:p>
    <w:p w14:paraId="73572ECA" w14:textId="77777777" w:rsidR="0096518E" w:rsidRPr="00896236" w:rsidRDefault="0096518E" w:rsidP="00896236">
      <w:pPr>
        <w:autoSpaceDE w:val="0"/>
        <w:autoSpaceDN w:val="0"/>
        <w:adjustRightInd w:val="0"/>
        <w:spacing w:after="0" w:line="360" w:lineRule="auto"/>
        <w:jc w:val="both"/>
        <w:rPr>
          <w:rFonts w:cstheme="minorHAnsi"/>
          <w:sz w:val="24"/>
          <w:szCs w:val="24"/>
        </w:rPr>
      </w:pPr>
    </w:p>
    <w:p w14:paraId="72AAF909" w14:textId="583A6206" w:rsidR="0096518E" w:rsidRPr="00896236" w:rsidRDefault="008A530F" w:rsidP="00896236">
      <w:pPr>
        <w:autoSpaceDE w:val="0"/>
        <w:autoSpaceDN w:val="0"/>
        <w:adjustRightInd w:val="0"/>
        <w:spacing w:after="0" w:line="360" w:lineRule="auto"/>
        <w:jc w:val="both"/>
        <w:rPr>
          <w:rFonts w:cstheme="minorHAnsi"/>
          <w:sz w:val="24"/>
          <w:szCs w:val="24"/>
        </w:rPr>
      </w:pPr>
      <w:bookmarkStart w:id="4" w:name="_Hlk24044953"/>
      <w:r w:rsidRPr="00896236">
        <w:rPr>
          <w:rFonts w:cstheme="minorHAnsi"/>
          <w:sz w:val="24"/>
          <w:szCs w:val="24"/>
        </w:rPr>
        <w:t xml:space="preserve">HEA (2019c) has found that </w:t>
      </w:r>
      <w:r w:rsidR="0096518E" w:rsidRPr="00896236">
        <w:rPr>
          <w:rFonts w:cstheme="minorHAnsi"/>
          <w:sz w:val="24"/>
          <w:szCs w:val="24"/>
        </w:rPr>
        <w:t>15% of graduates from IoTs attended DEIS schools compared to just 8% of university graduates.  7% of IoT graduates attended fee paying schools compared to 13% of university graduates</w:t>
      </w:r>
      <w:r w:rsidRPr="00896236">
        <w:rPr>
          <w:rFonts w:cstheme="minorHAnsi"/>
          <w:sz w:val="24"/>
          <w:szCs w:val="24"/>
        </w:rPr>
        <w:t>.</w:t>
      </w:r>
    </w:p>
    <w:p w14:paraId="2420BFA3" w14:textId="77777777" w:rsidR="0096518E" w:rsidRPr="00896236" w:rsidRDefault="0096518E" w:rsidP="00896236">
      <w:pPr>
        <w:autoSpaceDE w:val="0"/>
        <w:autoSpaceDN w:val="0"/>
        <w:adjustRightInd w:val="0"/>
        <w:spacing w:after="0" w:line="360" w:lineRule="auto"/>
        <w:jc w:val="both"/>
        <w:rPr>
          <w:rFonts w:cstheme="minorHAnsi"/>
          <w:sz w:val="24"/>
          <w:szCs w:val="24"/>
        </w:rPr>
      </w:pPr>
    </w:p>
    <w:p w14:paraId="671B2DB4" w14:textId="6FB04B87" w:rsidR="0096518E" w:rsidRPr="00896236" w:rsidRDefault="008A530F" w:rsidP="00896236">
      <w:pPr>
        <w:autoSpaceDE w:val="0"/>
        <w:autoSpaceDN w:val="0"/>
        <w:adjustRightInd w:val="0"/>
        <w:spacing w:after="0" w:line="360" w:lineRule="auto"/>
        <w:jc w:val="both"/>
        <w:rPr>
          <w:rFonts w:cstheme="minorHAnsi"/>
          <w:sz w:val="24"/>
          <w:szCs w:val="24"/>
        </w:rPr>
      </w:pPr>
      <w:r w:rsidRPr="00896236">
        <w:rPr>
          <w:rFonts w:cstheme="minorHAnsi"/>
          <w:sz w:val="24"/>
          <w:szCs w:val="24"/>
        </w:rPr>
        <w:t>According to Thorn (2018), t</w:t>
      </w:r>
      <w:r w:rsidR="0096518E" w:rsidRPr="00896236">
        <w:rPr>
          <w:rFonts w:cstheme="minorHAnsi"/>
          <w:sz w:val="24"/>
          <w:szCs w:val="24"/>
        </w:rPr>
        <w:t>he IoTs have 22% of their students registered as flexible learners (part-time, distance and e-learning) compared to 17% for the universities.  The distinction comes in terms of socio-economic class: 31% of students in the institutes come from the non-manual, semi-skilled or unskilled group compared to 21% in the universities (Thorn, 2018).</w:t>
      </w:r>
    </w:p>
    <w:p w14:paraId="18B54BA1" w14:textId="77777777" w:rsidR="0096518E" w:rsidRPr="00896236" w:rsidRDefault="0096518E" w:rsidP="00896236">
      <w:pPr>
        <w:autoSpaceDE w:val="0"/>
        <w:autoSpaceDN w:val="0"/>
        <w:adjustRightInd w:val="0"/>
        <w:spacing w:after="0" w:line="360" w:lineRule="auto"/>
        <w:jc w:val="both"/>
        <w:rPr>
          <w:rFonts w:cstheme="minorHAnsi"/>
          <w:sz w:val="24"/>
          <w:szCs w:val="24"/>
        </w:rPr>
      </w:pPr>
    </w:p>
    <w:p w14:paraId="34D45364" w14:textId="77777777" w:rsidR="009900FB" w:rsidRPr="00896236" w:rsidRDefault="009900FB" w:rsidP="00896236">
      <w:pPr>
        <w:pStyle w:val="Default"/>
        <w:spacing w:line="360" w:lineRule="auto"/>
        <w:jc w:val="both"/>
        <w:rPr>
          <w:rFonts w:asciiTheme="minorHAnsi" w:eastAsia="ArialMT" w:hAnsiTheme="minorHAnsi" w:cstheme="minorHAnsi"/>
          <w:color w:val="auto"/>
        </w:rPr>
      </w:pPr>
      <w:r w:rsidRPr="00896236">
        <w:rPr>
          <w:rFonts w:asciiTheme="minorHAnsi" w:hAnsiTheme="minorHAnsi" w:cstheme="minorHAnsi"/>
          <w:color w:val="auto"/>
        </w:rPr>
        <w:t xml:space="preserve">As stated in </w:t>
      </w:r>
      <w:proofErr w:type="spellStart"/>
      <w:r w:rsidRPr="00896236">
        <w:rPr>
          <w:rFonts w:asciiTheme="minorHAnsi" w:hAnsiTheme="minorHAnsi" w:cstheme="minorHAnsi"/>
          <w:color w:val="auto"/>
        </w:rPr>
        <w:t>Phulphagar</w:t>
      </w:r>
      <w:proofErr w:type="spellEnd"/>
      <w:r w:rsidRPr="00896236">
        <w:rPr>
          <w:rFonts w:asciiTheme="minorHAnsi" w:hAnsiTheme="minorHAnsi" w:cstheme="minorHAnsi"/>
          <w:color w:val="auto"/>
        </w:rPr>
        <w:t xml:space="preserve"> &amp; Kane (2020: 2)</w:t>
      </w:r>
    </w:p>
    <w:p w14:paraId="7E230EEA" w14:textId="2ED9FD0D" w:rsidR="0096518E" w:rsidRPr="00896236" w:rsidRDefault="0096518E" w:rsidP="00896236">
      <w:pPr>
        <w:pStyle w:val="Default"/>
        <w:spacing w:line="360" w:lineRule="auto"/>
        <w:jc w:val="both"/>
        <w:rPr>
          <w:rFonts w:asciiTheme="minorHAnsi" w:eastAsia="ArialMT" w:hAnsiTheme="minorHAnsi" w:cstheme="minorHAnsi"/>
          <w:color w:val="auto"/>
        </w:rPr>
      </w:pPr>
      <w:r w:rsidRPr="00896236">
        <w:rPr>
          <w:rFonts w:asciiTheme="minorHAnsi" w:hAnsiTheme="minorHAnsi" w:cstheme="minorHAnsi"/>
          <w:color w:val="auto"/>
        </w:rPr>
        <w:t>“Over half of students enrolled in Institutes of Technology receive a SUSI grant</w:t>
      </w:r>
      <w:r w:rsidR="0052098E" w:rsidRPr="00896236">
        <w:rPr>
          <w:rFonts w:asciiTheme="minorHAnsi" w:hAnsiTheme="minorHAnsi" w:cstheme="minorHAnsi"/>
          <w:color w:val="auto"/>
        </w:rPr>
        <w:t>…</w:t>
      </w:r>
      <w:r w:rsidRPr="00896236">
        <w:rPr>
          <w:rFonts w:asciiTheme="minorHAnsi" w:hAnsiTheme="minorHAnsi" w:cstheme="minorHAnsi"/>
          <w:color w:val="auto"/>
        </w:rPr>
        <w:t>while between 35% and 45% of students in universities receive a SUSI grant</w:t>
      </w:r>
      <w:r w:rsidR="0052098E" w:rsidRPr="00896236">
        <w:rPr>
          <w:rFonts w:asciiTheme="minorHAnsi" w:hAnsiTheme="minorHAnsi" w:cstheme="minorHAnsi"/>
          <w:color w:val="auto"/>
        </w:rPr>
        <w:t>.</w:t>
      </w:r>
      <w:r w:rsidRPr="00896236">
        <w:rPr>
          <w:rFonts w:asciiTheme="minorHAnsi" w:hAnsiTheme="minorHAnsi" w:cstheme="minorHAnsi"/>
          <w:color w:val="auto"/>
        </w:rPr>
        <w:t>”</w:t>
      </w:r>
      <w:r w:rsidRPr="00896236">
        <w:rPr>
          <w:rFonts w:asciiTheme="minorHAnsi" w:hAnsiTheme="minorHAnsi" w:cstheme="minorHAnsi"/>
          <w:color w:val="auto"/>
        </w:rPr>
        <w:tab/>
      </w:r>
    </w:p>
    <w:p w14:paraId="22002663" w14:textId="77777777" w:rsidR="0096518E" w:rsidRPr="00896236" w:rsidRDefault="0096518E" w:rsidP="00896236">
      <w:pPr>
        <w:autoSpaceDE w:val="0"/>
        <w:autoSpaceDN w:val="0"/>
        <w:adjustRightInd w:val="0"/>
        <w:spacing w:after="0" w:line="360" w:lineRule="auto"/>
        <w:jc w:val="both"/>
        <w:rPr>
          <w:rFonts w:cstheme="minorHAnsi"/>
          <w:sz w:val="24"/>
          <w:szCs w:val="24"/>
        </w:rPr>
      </w:pPr>
    </w:p>
    <w:p w14:paraId="7ACD75B5" w14:textId="7E3270F9" w:rsidR="0096518E" w:rsidRPr="00896236" w:rsidRDefault="00C01181" w:rsidP="00896236">
      <w:pPr>
        <w:autoSpaceDE w:val="0"/>
        <w:autoSpaceDN w:val="0"/>
        <w:adjustRightInd w:val="0"/>
        <w:spacing w:after="0" w:line="360" w:lineRule="auto"/>
        <w:jc w:val="both"/>
        <w:rPr>
          <w:rFonts w:cstheme="minorHAnsi"/>
          <w:sz w:val="24"/>
          <w:szCs w:val="24"/>
        </w:rPr>
      </w:pPr>
      <w:r w:rsidRPr="00896236">
        <w:rPr>
          <w:rFonts w:cstheme="minorHAnsi"/>
          <w:sz w:val="24"/>
          <w:szCs w:val="24"/>
        </w:rPr>
        <w:t xml:space="preserve">HEA (2019b) has found that </w:t>
      </w:r>
      <w:r w:rsidR="0096518E" w:rsidRPr="00896236">
        <w:rPr>
          <w:rFonts w:cstheme="minorHAnsi"/>
          <w:sz w:val="24"/>
          <w:szCs w:val="24"/>
        </w:rPr>
        <w:t>100% of universities have many more ‘affluent’ students than ‘disadvantaged’ students.  In the case of the IoTs the same figure is just 29%.</w:t>
      </w:r>
    </w:p>
    <w:p w14:paraId="3729A77A" w14:textId="77777777" w:rsidR="0096518E" w:rsidRPr="00896236" w:rsidRDefault="0096518E" w:rsidP="00896236">
      <w:pPr>
        <w:autoSpaceDE w:val="0"/>
        <w:autoSpaceDN w:val="0"/>
        <w:adjustRightInd w:val="0"/>
        <w:spacing w:after="0" w:line="360" w:lineRule="auto"/>
        <w:jc w:val="both"/>
        <w:rPr>
          <w:rFonts w:cstheme="minorHAnsi"/>
          <w:sz w:val="24"/>
          <w:szCs w:val="24"/>
        </w:rPr>
      </w:pPr>
    </w:p>
    <w:bookmarkEnd w:id="4"/>
    <w:p w14:paraId="15A5F9A5" w14:textId="77777777" w:rsidR="00C01181" w:rsidRPr="00896236" w:rsidRDefault="00C01181" w:rsidP="00896236">
      <w:pPr>
        <w:autoSpaceDE w:val="0"/>
        <w:autoSpaceDN w:val="0"/>
        <w:adjustRightInd w:val="0"/>
        <w:spacing w:after="0" w:line="360" w:lineRule="auto"/>
        <w:jc w:val="both"/>
        <w:rPr>
          <w:rFonts w:cstheme="minorHAnsi"/>
          <w:sz w:val="24"/>
          <w:szCs w:val="24"/>
        </w:rPr>
      </w:pPr>
      <w:r w:rsidRPr="00896236">
        <w:rPr>
          <w:rFonts w:cstheme="minorHAnsi"/>
          <w:sz w:val="24"/>
          <w:szCs w:val="24"/>
        </w:rPr>
        <w:lastRenderedPageBreak/>
        <w:t>Collins et al. (2020: 16) stated that</w:t>
      </w:r>
    </w:p>
    <w:p w14:paraId="44A24F6B" w14:textId="3D41292C" w:rsidR="0096518E" w:rsidRPr="00896236" w:rsidRDefault="0096518E" w:rsidP="00896236">
      <w:pPr>
        <w:autoSpaceDE w:val="0"/>
        <w:autoSpaceDN w:val="0"/>
        <w:adjustRightInd w:val="0"/>
        <w:spacing w:after="0" w:line="360" w:lineRule="auto"/>
        <w:jc w:val="both"/>
        <w:rPr>
          <w:rFonts w:cstheme="minorHAnsi"/>
          <w:sz w:val="24"/>
          <w:szCs w:val="24"/>
        </w:rPr>
      </w:pPr>
      <w:r w:rsidRPr="00896236">
        <w:rPr>
          <w:rFonts w:cstheme="minorHAnsi"/>
          <w:sz w:val="24"/>
          <w:szCs w:val="24"/>
        </w:rPr>
        <w:t>“Academics in the non-university sector do more teaching than their counterparts in the university sector. While academics in the non-university sector in Ireland spend less time on research than their counterparts in the universities, they outperform the European average for their sector in this regard.”</w:t>
      </w:r>
    </w:p>
    <w:p w14:paraId="21CDA36D" w14:textId="58893687" w:rsidR="0096518E" w:rsidRPr="00896236" w:rsidRDefault="0052098E" w:rsidP="00896236">
      <w:pPr>
        <w:autoSpaceDE w:val="0"/>
        <w:autoSpaceDN w:val="0"/>
        <w:adjustRightInd w:val="0"/>
        <w:spacing w:after="0" w:line="360" w:lineRule="auto"/>
        <w:jc w:val="both"/>
        <w:rPr>
          <w:rFonts w:cstheme="minorHAnsi"/>
          <w:sz w:val="24"/>
          <w:szCs w:val="24"/>
        </w:rPr>
      </w:pPr>
      <w:r w:rsidRPr="00896236">
        <w:rPr>
          <w:rFonts w:cstheme="minorHAnsi"/>
          <w:sz w:val="24"/>
          <w:szCs w:val="24"/>
        </w:rPr>
        <w:t>This means that staff in the IoT/TU sector have less time to provide one-to-one support to students.</w:t>
      </w:r>
    </w:p>
    <w:p w14:paraId="3C754EBD" w14:textId="77777777" w:rsidR="0052098E" w:rsidRPr="00896236" w:rsidRDefault="0052098E" w:rsidP="00896236">
      <w:pPr>
        <w:autoSpaceDE w:val="0"/>
        <w:autoSpaceDN w:val="0"/>
        <w:adjustRightInd w:val="0"/>
        <w:spacing w:after="0" w:line="360" w:lineRule="auto"/>
        <w:jc w:val="both"/>
        <w:rPr>
          <w:rFonts w:cstheme="minorHAnsi"/>
          <w:sz w:val="24"/>
          <w:szCs w:val="24"/>
        </w:rPr>
      </w:pPr>
    </w:p>
    <w:p w14:paraId="780EC013" w14:textId="0F06DA3F" w:rsidR="0096518E" w:rsidRPr="00896236" w:rsidRDefault="0043088D" w:rsidP="00896236">
      <w:pPr>
        <w:autoSpaceDE w:val="0"/>
        <w:autoSpaceDN w:val="0"/>
        <w:adjustRightInd w:val="0"/>
        <w:spacing w:after="0" w:line="360" w:lineRule="auto"/>
        <w:jc w:val="both"/>
        <w:rPr>
          <w:rFonts w:cstheme="minorHAnsi"/>
          <w:sz w:val="24"/>
          <w:szCs w:val="24"/>
        </w:rPr>
      </w:pPr>
      <w:r w:rsidRPr="00896236">
        <w:rPr>
          <w:rFonts w:cstheme="minorHAnsi"/>
          <w:sz w:val="24"/>
          <w:szCs w:val="24"/>
        </w:rPr>
        <w:t>According to HEA (2017), t</w:t>
      </w:r>
      <w:r w:rsidR="0096518E" w:rsidRPr="00896236">
        <w:rPr>
          <w:rFonts w:cstheme="minorHAnsi"/>
          <w:sz w:val="24"/>
          <w:szCs w:val="24"/>
        </w:rPr>
        <w:t>here were 222,618 enrolments in higher education in Ireland in 2015/16. Universities had 1.73 times the staff of the IoT sector despite having only 1.33 times the number of students.</w:t>
      </w:r>
    </w:p>
    <w:p w14:paraId="68EB80D3" w14:textId="77777777" w:rsidR="0096518E" w:rsidRPr="00896236" w:rsidRDefault="0096518E" w:rsidP="00896236">
      <w:pPr>
        <w:pStyle w:val="PlainText"/>
        <w:spacing w:line="360" w:lineRule="auto"/>
        <w:jc w:val="both"/>
        <w:rPr>
          <w:rFonts w:asciiTheme="minorHAnsi" w:hAnsiTheme="minorHAnsi" w:cstheme="minorHAnsi"/>
          <w:sz w:val="24"/>
          <w:szCs w:val="24"/>
        </w:rPr>
      </w:pPr>
    </w:p>
    <w:p w14:paraId="5EE85B09" w14:textId="77777777" w:rsidR="00DF3151" w:rsidRPr="00896236" w:rsidRDefault="00DF3151" w:rsidP="00896236">
      <w:pPr>
        <w:spacing w:after="0" w:line="360" w:lineRule="auto"/>
        <w:jc w:val="both"/>
        <w:rPr>
          <w:rFonts w:cstheme="minorHAnsi"/>
          <w:b/>
          <w:sz w:val="24"/>
          <w:szCs w:val="24"/>
          <w:u w:val="single"/>
        </w:rPr>
      </w:pPr>
      <w:r w:rsidRPr="00896236">
        <w:rPr>
          <w:rFonts w:cstheme="minorHAnsi"/>
          <w:b/>
          <w:sz w:val="24"/>
          <w:szCs w:val="24"/>
          <w:u w:val="single"/>
        </w:rPr>
        <w:t>Recommendations</w:t>
      </w:r>
    </w:p>
    <w:p w14:paraId="5C9E3C3C" w14:textId="02FE8123" w:rsidR="00417290" w:rsidRPr="00896236" w:rsidRDefault="00D972D5" w:rsidP="00896236">
      <w:pPr>
        <w:spacing w:after="0" w:line="360" w:lineRule="auto"/>
        <w:jc w:val="both"/>
        <w:rPr>
          <w:rFonts w:cstheme="minorHAnsi"/>
          <w:sz w:val="24"/>
          <w:szCs w:val="24"/>
        </w:rPr>
      </w:pPr>
      <w:r w:rsidRPr="00896236">
        <w:rPr>
          <w:rFonts w:cstheme="minorHAnsi"/>
          <w:sz w:val="24"/>
          <w:szCs w:val="24"/>
        </w:rPr>
        <w:t>The T</w:t>
      </w:r>
      <w:r w:rsidR="001267B0" w:rsidRPr="00896236">
        <w:rPr>
          <w:rFonts w:cstheme="minorHAnsi"/>
          <w:sz w:val="24"/>
          <w:szCs w:val="24"/>
        </w:rPr>
        <w:t>U</w:t>
      </w:r>
      <w:r w:rsidRPr="00896236">
        <w:rPr>
          <w:rFonts w:cstheme="minorHAnsi"/>
          <w:sz w:val="24"/>
          <w:szCs w:val="24"/>
        </w:rPr>
        <w:t xml:space="preserve">I would like to make the following recommendations to the </w:t>
      </w:r>
      <w:r w:rsidR="002D6DF6" w:rsidRPr="00896236">
        <w:rPr>
          <w:rFonts w:cstheme="minorHAnsi"/>
          <w:sz w:val="24"/>
          <w:szCs w:val="24"/>
        </w:rPr>
        <w:t>HEA:</w:t>
      </w:r>
    </w:p>
    <w:p w14:paraId="3130C959" w14:textId="6E036E72" w:rsidR="00372CB1" w:rsidRPr="00E86DFF" w:rsidRDefault="00C91E2E" w:rsidP="00E86DFF">
      <w:pPr>
        <w:pStyle w:val="ListParagraph"/>
        <w:numPr>
          <w:ilvl w:val="0"/>
          <w:numId w:val="39"/>
        </w:numPr>
        <w:spacing w:line="360" w:lineRule="auto"/>
        <w:jc w:val="both"/>
        <w:rPr>
          <w:rFonts w:cstheme="minorHAnsi"/>
          <w:sz w:val="24"/>
          <w:szCs w:val="24"/>
        </w:rPr>
      </w:pPr>
      <w:r w:rsidRPr="00896236">
        <w:rPr>
          <w:rFonts w:cstheme="minorHAnsi"/>
          <w:sz w:val="24"/>
          <w:szCs w:val="24"/>
        </w:rPr>
        <w:t>The size of SUSI grants, and eligibility criteria for same, should be significantly expanded.</w:t>
      </w:r>
      <w:r w:rsidR="00E86DFF" w:rsidRPr="00E86DFF">
        <w:rPr>
          <w:rFonts w:cstheme="minorHAnsi"/>
          <w:sz w:val="24"/>
          <w:szCs w:val="24"/>
        </w:rPr>
        <w:t xml:space="preserve"> </w:t>
      </w:r>
      <w:r w:rsidR="00E86DFF">
        <w:rPr>
          <w:rFonts w:cstheme="minorHAnsi"/>
          <w:sz w:val="24"/>
          <w:szCs w:val="24"/>
        </w:rPr>
        <w:t>The TUI welcomes the current ongoing review of SUSI.</w:t>
      </w:r>
    </w:p>
    <w:p w14:paraId="04DAFB73" w14:textId="61D8104D" w:rsidR="00C91E2E" w:rsidRPr="00896236" w:rsidRDefault="00C91E2E" w:rsidP="00896236">
      <w:pPr>
        <w:pStyle w:val="ListParagraph"/>
        <w:numPr>
          <w:ilvl w:val="0"/>
          <w:numId w:val="39"/>
        </w:numPr>
        <w:spacing w:line="360" w:lineRule="auto"/>
        <w:jc w:val="both"/>
        <w:rPr>
          <w:rFonts w:cstheme="minorHAnsi"/>
          <w:sz w:val="24"/>
          <w:szCs w:val="24"/>
        </w:rPr>
      </w:pPr>
      <w:r w:rsidRPr="00896236">
        <w:rPr>
          <w:rFonts w:cstheme="minorHAnsi"/>
          <w:sz w:val="24"/>
          <w:szCs w:val="24"/>
        </w:rPr>
        <w:t>Exchequer funding of higher education must be dramatically increased.</w:t>
      </w:r>
    </w:p>
    <w:p w14:paraId="12F8739A" w14:textId="7998814E" w:rsidR="00C91E2E" w:rsidRPr="00896236" w:rsidRDefault="00C91E2E" w:rsidP="00896236">
      <w:pPr>
        <w:pStyle w:val="ListParagraph"/>
        <w:numPr>
          <w:ilvl w:val="0"/>
          <w:numId w:val="39"/>
        </w:numPr>
        <w:spacing w:line="360" w:lineRule="auto"/>
        <w:jc w:val="both"/>
        <w:rPr>
          <w:rFonts w:cstheme="minorHAnsi"/>
          <w:sz w:val="24"/>
          <w:szCs w:val="24"/>
        </w:rPr>
      </w:pPr>
      <w:r w:rsidRPr="00896236">
        <w:rPr>
          <w:rFonts w:cstheme="minorHAnsi"/>
          <w:sz w:val="24"/>
          <w:szCs w:val="24"/>
        </w:rPr>
        <w:t>Funding models must take account of the unique role the IoT/TU sector plays in higher education access.</w:t>
      </w:r>
    </w:p>
    <w:p w14:paraId="6AA5903C" w14:textId="2AD0928A" w:rsidR="00C91E2E" w:rsidRPr="00896236" w:rsidRDefault="00C91E2E" w:rsidP="00896236">
      <w:pPr>
        <w:pStyle w:val="ListParagraph"/>
        <w:numPr>
          <w:ilvl w:val="0"/>
          <w:numId w:val="39"/>
        </w:numPr>
        <w:spacing w:line="360" w:lineRule="auto"/>
        <w:jc w:val="both"/>
        <w:rPr>
          <w:rFonts w:cstheme="minorHAnsi"/>
          <w:sz w:val="24"/>
          <w:szCs w:val="24"/>
        </w:rPr>
      </w:pPr>
      <w:r w:rsidRPr="00896236">
        <w:rPr>
          <w:rFonts w:cstheme="minorHAnsi"/>
          <w:sz w:val="24"/>
          <w:szCs w:val="24"/>
        </w:rPr>
        <w:t xml:space="preserve">Greater recognition of, and visibility of, the FE sector is vital due to the essential role it plays in supporting under-represented groups to access levels 5 and 6 of the NFQ, </w:t>
      </w:r>
      <w:proofErr w:type="gramStart"/>
      <w:r w:rsidRPr="00896236">
        <w:rPr>
          <w:rFonts w:cstheme="minorHAnsi"/>
          <w:sz w:val="24"/>
          <w:szCs w:val="24"/>
        </w:rPr>
        <w:t>and also</w:t>
      </w:r>
      <w:proofErr w:type="gramEnd"/>
      <w:r w:rsidRPr="00896236">
        <w:rPr>
          <w:rFonts w:cstheme="minorHAnsi"/>
          <w:sz w:val="24"/>
          <w:szCs w:val="24"/>
        </w:rPr>
        <w:t xml:space="preserve"> frequently then accessing levels 7 and 8 of the NFQ.</w:t>
      </w:r>
    </w:p>
    <w:p w14:paraId="1E927055" w14:textId="22FDB030" w:rsidR="00014283" w:rsidRPr="00896236" w:rsidRDefault="00014283" w:rsidP="00896236">
      <w:pPr>
        <w:pStyle w:val="ListParagraph"/>
        <w:numPr>
          <w:ilvl w:val="0"/>
          <w:numId w:val="39"/>
        </w:numPr>
        <w:spacing w:line="360" w:lineRule="auto"/>
        <w:jc w:val="both"/>
        <w:rPr>
          <w:rFonts w:cstheme="minorHAnsi"/>
          <w:sz w:val="24"/>
          <w:szCs w:val="24"/>
        </w:rPr>
      </w:pPr>
      <w:r w:rsidRPr="00896236">
        <w:rPr>
          <w:rFonts w:cstheme="minorHAnsi"/>
          <w:sz w:val="24"/>
          <w:szCs w:val="24"/>
        </w:rPr>
        <w:t>Additional staffing of guidance services in schools, FE colleges, HE institutions and in the Adult Guidance Service would be helpful.</w:t>
      </w:r>
    </w:p>
    <w:p w14:paraId="795CDE6D" w14:textId="7A80571C" w:rsidR="0052098E" w:rsidRPr="00896236" w:rsidRDefault="0052098E" w:rsidP="00896236">
      <w:pPr>
        <w:pStyle w:val="ListParagraph"/>
        <w:numPr>
          <w:ilvl w:val="0"/>
          <w:numId w:val="39"/>
        </w:numPr>
        <w:spacing w:line="360" w:lineRule="auto"/>
        <w:jc w:val="both"/>
        <w:rPr>
          <w:rFonts w:cstheme="minorHAnsi"/>
          <w:sz w:val="24"/>
          <w:szCs w:val="24"/>
        </w:rPr>
      </w:pPr>
      <w:r w:rsidRPr="00896236">
        <w:rPr>
          <w:rFonts w:cstheme="minorHAnsi"/>
          <w:sz w:val="24"/>
          <w:szCs w:val="24"/>
        </w:rPr>
        <w:t>The Points System needs to be reformed.</w:t>
      </w:r>
      <w:r w:rsidR="00703ECB">
        <w:rPr>
          <w:rFonts w:cstheme="minorHAnsi"/>
          <w:sz w:val="24"/>
          <w:szCs w:val="24"/>
        </w:rPr>
        <w:t xml:space="preserve">  </w:t>
      </w:r>
    </w:p>
    <w:p w14:paraId="693EDD8D" w14:textId="6F6031FA" w:rsidR="0052098E" w:rsidRPr="00896236" w:rsidRDefault="0052098E" w:rsidP="00896236">
      <w:pPr>
        <w:pStyle w:val="ListParagraph"/>
        <w:numPr>
          <w:ilvl w:val="0"/>
          <w:numId w:val="39"/>
        </w:numPr>
        <w:spacing w:line="360" w:lineRule="auto"/>
        <w:jc w:val="both"/>
        <w:rPr>
          <w:rFonts w:cstheme="minorHAnsi"/>
          <w:sz w:val="24"/>
          <w:szCs w:val="24"/>
        </w:rPr>
      </w:pPr>
      <w:r w:rsidRPr="00896236">
        <w:rPr>
          <w:rFonts w:cstheme="minorHAnsi"/>
          <w:sz w:val="24"/>
          <w:szCs w:val="24"/>
        </w:rPr>
        <w:t>More progression pathways should be recognised.</w:t>
      </w:r>
    </w:p>
    <w:p w14:paraId="2501AABA" w14:textId="77777777" w:rsidR="00C91E2E" w:rsidRPr="00896236" w:rsidRDefault="00C91E2E" w:rsidP="00896236">
      <w:pPr>
        <w:spacing w:line="360" w:lineRule="auto"/>
        <w:jc w:val="both"/>
        <w:rPr>
          <w:rFonts w:cstheme="minorHAnsi"/>
          <w:sz w:val="24"/>
          <w:szCs w:val="24"/>
        </w:rPr>
      </w:pPr>
    </w:p>
    <w:p w14:paraId="21808329" w14:textId="5C3D27E8" w:rsidR="00DF3151" w:rsidRPr="00896236" w:rsidRDefault="00DF3151" w:rsidP="00896236">
      <w:pPr>
        <w:spacing w:line="360" w:lineRule="auto"/>
        <w:jc w:val="both"/>
        <w:rPr>
          <w:rFonts w:cstheme="minorHAnsi"/>
          <w:b/>
          <w:bCs/>
          <w:sz w:val="24"/>
          <w:szCs w:val="24"/>
        </w:rPr>
      </w:pPr>
      <w:r w:rsidRPr="00896236">
        <w:rPr>
          <w:rFonts w:cstheme="minorHAnsi"/>
          <w:b/>
          <w:bCs/>
          <w:sz w:val="24"/>
          <w:szCs w:val="24"/>
        </w:rPr>
        <w:t xml:space="preserve">Ends </w:t>
      </w:r>
    </w:p>
    <w:p w14:paraId="5A3483F9" w14:textId="77777777" w:rsidR="00DF3151" w:rsidRPr="00896236" w:rsidRDefault="00DF3151" w:rsidP="00896236">
      <w:pPr>
        <w:spacing w:line="360" w:lineRule="auto"/>
        <w:jc w:val="both"/>
        <w:rPr>
          <w:rFonts w:cstheme="minorHAnsi"/>
          <w:b/>
          <w:sz w:val="24"/>
          <w:szCs w:val="24"/>
        </w:rPr>
      </w:pPr>
      <w:r w:rsidRPr="00896236">
        <w:rPr>
          <w:rFonts w:cstheme="minorHAnsi"/>
          <w:b/>
          <w:sz w:val="24"/>
          <w:szCs w:val="24"/>
        </w:rPr>
        <w:t xml:space="preserve">David Duffy (Education/Research Officer, TUI), </w:t>
      </w:r>
      <w:hyperlink r:id="rId8" w:history="1">
        <w:r w:rsidRPr="00896236">
          <w:rPr>
            <w:rFonts w:cstheme="minorHAnsi"/>
            <w:sz w:val="24"/>
            <w:szCs w:val="24"/>
            <w:u w:val="single"/>
          </w:rPr>
          <w:t>dduffy@tui.ie</w:t>
        </w:r>
      </w:hyperlink>
      <w:r w:rsidRPr="00896236">
        <w:rPr>
          <w:rFonts w:cstheme="minorHAnsi"/>
          <w:b/>
          <w:sz w:val="24"/>
          <w:szCs w:val="24"/>
        </w:rPr>
        <w:t>, 01 4922588</w:t>
      </w:r>
    </w:p>
    <w:p w14:paraId="62D65D81" w14:textId="77777777" w:rsidR="001669AD" w:rsidRPr="00896236" w:rsidRDefault="001669AD" w:rsidP="00896236">
      <w:pPr>
        <w:spacing w:line="360" w:lineRule="auto"/>
        <w:jc w:val="both"/>
        <w:rPr>
          <w:rFonts w:cstheme="minorHAnsi"/>
          <w:b/>
          <w:sz w:val="24"/>
          <w:szCs w:val="24"/>
        </w:rPr>
      </w:pPr>
    </w:p>
    <w:p w14:paraId="1CEAA230" w14:textId="1852C7A7" w:rsidR="00DF3151" w:rsidRPr="00896236" w:rsidRDefault="00DF3151" w:rsidP="00896236">
      <w:pPr>
        <w:spacing w:line="360" w:lineRule="auto"/>
        <w:jc w:val="both"/>
        <w:rPr>
          <w:rFonts w:cstheme="minorHAnsi"/>
          <w:b/>
          <w:sz w:val="24"/>
          <w:szCs w:val="24"/>
        </w:rPr>
      </w:pPr>
      <w:r w:rsidRPr="00896236">
        <w:rPr>
          <w:rFonts w:cstheme="minorHAnsi"/>
          <w:b/>
          <w:sz w:val="24"/>
          <w:szCs w:val="24"/>
        </w:rPr>
        <w:lastRenderedPageBreak/>
        <w:t>Glossary</w:t>
      </w:r>
    </w:p>
    <w:p w14:paraId="1FB692EA" w14:textId="3476CF45" w:rsidR="00DF3151" w:rsidRPr="00896236" w:rsidRDefault="0052098E" w:rsidP="00896236">
      <w:pPr>
        <w:spacing w:line="360" w:lineRule="auto"/>
        <w:jc w:val="both"/>
        <w:rPr>
          <w:rFonts w:cstheme="minorHAnsi"/>
          <w:sz w:val="24"/>
          <w:szCs w:val="24"/>
        </w:rPr>
      </w:pPr>
      <w:r w:rsidRPr="00896236">
        <w:rPr>
          <w:rFonts w:cstheme="minorHAnsi"/>
          <w:sz w:val="24"/>
          <w:szCs w:val="24"/>
        </w:rPr>
        <w:t>CAO</w:t>
      </w:r>
      <w:r w:rsidRPr="00896236">
        <w:rPr>
          <w:rFonts w:cstheme="minorHAnsi"/>
          <w:sz w:val="24"/>
          <w:szCs w:val="24"/>
        </w:rPr>
        <w:tab/>
      </w:r>
      <w:r w:rsidRPr="00896236">
        <w:rPr>
          <w:rFonts w:cstheme="minorHAnsi"/>
          <w:sz w:val="24"/>
          <w:szCs w:val="24"/>
        </w:rPr>
        <w:tab/>
        <w:t>Central Applications Office</w:t>
      </w:r>
    </w:p>
    <w:p w14:paraId="3A2EE470" w14:textId="77777777" w:rsidR="00DF3151" w:rsidRPr="00896236" w:rsidRDefault="00DF3151" w:rsidP="00896236">
      <w:pPr>
        <w:spacing w:line="360" w:lineRule="auto"/>
        <w:jc w:val="both"/>
        <w:rPr>
          <w:rFonts w:cstheme="minorHAnsi"/>
          <w:sz w:val="24"/>
          <w:szCs w:val="24"/>
        </w:rPr>
      </w:pPr>
      <w:r w:rsidRPr="00896236">
        <w:rPr>
          <w:rFonts w:cstheme="minorHAnsi"/>
          <w:sz w:val="24"/>
          <w:szCs w:val="24"/>
        </w:rPr>
        <w:t>C&amp;C</w:t>
      </w:r>
      <w:r w:rsidRPr="00896236">
        <w:rPr>
          <w:rFonts w:cstheme="minorHAnsi"/>
          <w:sz w:val="24"/>
          <w:szCs w:val="24"/>
        </w:rPr>
        <w:tab/>
      </w:r>
      <w:r w:rsidRPr="00896236">
        <w:rPr>
          <w:rFonts w:cstheme="minorHAnsi"/>
          <w:sz w:val="24"/>
          <w:szCs w:val="24"/>
        </w:rPr>
        <w:tab/>
        <w:t>Community and Comprehensive</w:t>
      </w:r>
    </w:p>
    <w:p w14:paraId="02E14ECA" w14:textId="24EB2D0C" w:rsidR="0052098E" w:rsidRPr="00896236" w:rsidRDefault="0052098E" w:rsidP="00896236">
      <w:pPr>
        <w:spacing w:line="360" w:lineRule="auto"/>
        <w:jc w:val="both"/>
        <w:rPr>
          <w:rFonts w:cstheme="minorHAnsi"/>
          <w:sz w:val="24"/>
          <w:szCs w:val="24"/>
        </w:rPr>
      </w:pPr>
      <w:r w:rsidRPr="00896236">
        <w:rPr>
          <w:rFonts w:cstheme="minorHAnsi"/>
          <w:sz w:val="24"/>
          <w:szCs w:val="24"/>
        </w:rPr>
        <w:t>CEO</w:t>
      </w:r>
      <w:r w:rsidRPr="00896236">
        <w:rPr>
          <w:rFonts w:cstheme="minorHAnsi"/>
          <w:sz w:val="24"/>
          <w:szCs w:val="24"/>
        </w:rPr>
        <w:tab/>
      </w:r>
      <w:r w:rsidRPr="00896236">
        <w:rPr>
          <w:rFonts w:cstheme="minorHAnsi"/>
          <w:sz w:val="24"/>
          <w:szCs w:val="24"/>
        </w:rPr>
        <w:tab/>
        <w:t>Chief Executive Officer</w:t>
      </w:r>
    </w:p>
    <w:p w14:paraId="45331D69" w14:textId="35CC8A45" w:rsidR="001F05DA" w:rsidRPr="00896236" w:rsidRDefault="001F05DA" w:rsidP="00896236">
      <w:pPr>
        <w:spacing w:line="360" w:lineRule="auto"/>
        <w:jc w:val="both"/>
        <w:rPr>
          <w:rFonts w:cstheme="minorHAnsi"/>
          <w:sz w:val="24"/>
          <w:szCs w:val="24"/>
        </w:rPr>
      </w:pPr>
      <w:r w:rsidRPr="00896236">
        <w:rPr>
          <w:rFonts w:cstheme="minorHAnsi"/>
          <w:sz w:val="24"/>
          <w:szCs w:val="24"/>
        </w:rPr>
        <w:t>CSO</w:t>
      </w:r>
      <w:r w:rsidRPr="00896236">
        <w:rPr>
          <w:rFonts w:cstheme="minorHAnsi"/>
          <w:sz w:val="24"/>
          <w:szCs w:val="24"/>
        </w:rPr>
        <w:tab/>
      </w:r>
      <w:r w:rsidRPr="00896236">
        <w:rPr>
          <w:rFonts w:cstheme="minorHAnsi"/>
          <w:sz w:val="24"/>
          <w:szCs w:val="24"/>
        </w:rPr>
        <w:tab/>
        <w:t>Central Statistics Office</w:t>
      </w:r>
    </w:p>
    <w:p w14:paraId="48C43156" w14:textId="4EA9598F" w:rsidR="001F05DA" w:rsidRPr="00896236" w:rsidRDefault="001F05DA" w:rsidP="00896236">
      <w:pPr>
        <w:spacing w:line="360" w:lineRule="auto"/>
        <w:jc w:val="both"/>
        <w:rPr>
          <w:rFonts w:cstheme="minorHAnsi"/>
          <w:sz w:val="24"/>
          <w:szCs w:val="24"/>
        </w:rPr>
      </w:pPr>
      <w:r w:rsidRPr="00896236">
        <w:rPr>
          <w:rFonts w:cstheme="minorHAnsi"/>
          <w:sz w:val="24"/>
          <w:szCs w:val="24"/>
        </w:rPr>
        <w:t>DCYA</w:t>
      </w:r>
      <w:r w:rsidRPr="00896236">
        <w:rPr>
          <w:rFonts w:cstheme="minorHAnsi"/>
          <w:sz w:val="24"/>
          <w:szCs w:val="24"/>
        </w:rPr>
        <w:tab/>
      </w:r>
      <w:r w:rsidRPr="00896236">
        <w:rPr>
          <w:rFonts w:cstheme="minorHAnsi"/>
          <w:sz w:val="24"/>
          <w:szCs w:val="24"/>
        </w:rPr>
        <w:tab/>
        <w:t>Department of Children and Youth Affairs</w:t>
      </w:r>
      <w:r w:rsidRPr="00896236">
        <w:rPr>
          <w:rFonts w:cstheme="minorHAnsi"/>
          <w:sz w:val="24"/>
          <w:szCs w:val="24"/>
        </w:rPr>
        <w:tab/>
        <w:t>(Now DCEDIYA)</w:t>
      </w:r>
    </w:p>
    <w:p w14:paraId="5743C76A" w14:textId="4D26136E" w:rsidR="001F05DA" w:rsidRPr="00896236" w:rsidRDefault="001F05DA" w:rsidP="00896236">
      <w:pPr>
        <w:spacing w:line="360" w:lineRule="auto"/>
        <w:jc w:val="both"/>
        <w:rPr>
          <w:rFonts w:cstheme="minorHAnsi"/>
          <w:sz w:val="24"/>
          <w:szCs w:val="24"/>
        </w:rPr>
      </w:pPr>
      <w:r w:rsidRPr="00896236">
        <w:rPr>
          <w:rFonts w:cstheme="minorHAnsi"/>
          <w:sz w:val="24"/>
          <w:szCs w:val="24"/>
        </w:rPr>
        <w:t>DE</w:t>
      </w:r>
      <w:r w:rsidRPr="00896236">
        <w:rPr>
          <w:rFonts w:cstheme="minorHAnsi"/>
          <w:sz w:val="24"/>
          <w:szCs w:val="24"/>
        </w:rPr>
        <w:tab/>
      </w:r>
      <w:r w:rsidRPr="00896236">
        <w:rPr>
          <w:rFonts w:cstheme="minorHAnsi"/>
          <w:sz w:val="24"/>
          <w:szCs w:val="24"/>
        </w:rPr>
        <w:tab/>
        <w:t>Department of Education</w:t>
      </w:r>
    </w:p>
    <w:p w14:paraId="42FD1033" w14:textId="58F06743" w:rsidR="001F05DA" w:rsidRPr="00896236" w:rsidRDefault="001F05DA" w:rsidP="00896236">
      <w:pPr>
        <w:spacing w:line="360" w:lineRule="auto"/>
        <w:jc w:val="both"/>
        <w:rPr>
          <w:rFonts w:cstheme="minorHAnsi"/>
          <w:sz w:val="24"/>
          <w:szCs w:val="24"/>
        </w:rPr>
      </w:pPr>
      <w:r w:rsidRPr="00896236">
        <w:rPr>
          <w:rFonts w:cstheme="minorHAnsi"/>
          <w:sz w:val="24"/>
          <w:szCs w:val="24"/>
        </w:rPr>
        <w:t>DEIS</w:t>
      </w:r>
      <w:r w:rsidRPr="00896236">
        <w:rPr>
          <w:rFonts w:cstheme="minorHAnsi"/>
          <w:sz w:val="24"/>
          <w:szCs w:val="24"/>
        </w:rPr>
        <w:tab/>
      </w:r>
      <w:r w:rsidRPr="00896236">
        <w:rPr>
          <w:rFonts w:cstheme="minorHAnsi"/>
          <w:sz w:val="24"/>
          <w:szCs w:val="24"/>
        </w:rPr>
        <w:tab/>
        <w:t>Delivering Equality of Opportunity in Schools</w:t>
      </w:r>
    </w:p>
    <w:p w14:paraId="33FE76D4" w14:textId="249353A8" w:rsidR="00DF3151" w:rsidRPr="00896236" w:rsidRDefault="00DF3151" w:rsidP="00896236">
      <w:pPr>
        <w:spacing w:line="360" w:lineRule="auto"/>
        <w:jc w:val="both"/>
        <w:rPr>
          <w:rFonts w:cstheme="minorHAnsi"/>
          <w:sz w:val="24"/>
          <w:szCs w:val="24"/>
        </w:rPr>
      </w:pPr>
      <w:r w:rsidRPr="00896236">
        <w:rPr>
          <w:rFonts w:cstheme="minorHAnsi"/>
          <w:sz w:val="24"/>
          <w:szCs w:val="24"/>
        </w:rPr>
        <w:t>DES</w:t>
      </w:r>
      <w:r w:rsidRPr="00896236">
        <w:rPr>
          <w:rFonts w:cstheme="minorHAnsi"/>
          <w:sz w:val="24"/>
          <w:szCs w:val="24"/>
        </w:rPr>
        <w:tab/>
      </w:r>
      <w:r w:rsidRPr="00896236">
        <w:rPr>
          <w:rFonts w:cstheme="minorHAnsi"/>
          <w:sz w:val="24"/>
          <w:szCs w:val="24"/>
        </w:rPr>
        <w:tab/>
        <w:t>Department of Education and Skills</w:t>
      </w:r>
      <w:r w:rsidR="001F05DA" w:rsidRPr="00896236">
        <w:rPr>
          <w:rFonts w:cstheme="minorHAnsi"/>
          <w:sz w:val="24"/>
          <w:szCs w:val="24"/>
        </w:rPr>
        <w:tab/>
      </w:r>
      <w:r w:rsidR="001F05DA" w:rsidRPr="00896236">
        <w:rPr>
          <w:rFonts w:cstheme="minorHAnsi"/>
          <w:sz w:val="24"/>
          <w:szCs w:val="24"/>
        </w:rPr>
        <w:tab/>
        <w:t>(Now DE)</w:t>
      </w:r>
    </w:p>
    <w:p w14:paraId="47D516C0" w14:textId="49657025" w:rsidR="0052098E" w:rsidRPr="00896236" w:rsidRDefault="0052098E" w:rsidP="00896236">
      <w:pPr>
        <w:spacing w:line="360" w:lineRule="auto"/>
        <w:jc w:val="both"/>
        <w:rPr>
          <w:rFonts w:cstheme="minorHAnsi"/>
          <w:sz w:val="24"/>
          <w:szCs w:val="24"/>
        </w:rPr>
      </w:pPr>
      <w:r w:rsidRPr="00896236">
        <w:rPr>
          <w:rFonts w:cstheme="minorHAnsi"/>
          <w:sz w:val="24"/>
          <w:szCs w:val="24"/>
        </w:rPr>
        <w:t>DFHERIS</w:t>
      </w:r>
      <w:r w:rsidRPr="00896236">
        <w:rPr>
          <w:rFonts w:cstheme="minorHAnsi"/>
          <w:sz w:val="24"/>
          <w:szCs w:val="24"/>
        </w:rPr>
        <w:tab/>
        <w:t>Department of Further and Higher Education, Research, Innovation and Science</w:t>
      </w:r>
    </w:p>
    <w:p w14:paraId="422E6A01" w14:textId="5B46D7E3" w:rsidR="0071478C" w:rsidRPr="00896236" w:rsidRDefault="0071478C" w:rsidP="00896236">
      <w:pPr>
        <w:spacing w:line="360" w:lineRule="auto"/>
        <w:jc w:val="both"/>
        <w:rPr>
          <w:rFonts w:cstheme="minorHAnsi"/>
          <w:sz w:val="24"/>
          <w:szCs w:val="24"/>
        </w:rPr>
      </w:pPr>
      <w:r w:rsidRPr="00896236">
        <w:rPr>
          <w:rFonts w:cstheme="minorHAnsi"/>
          <w:sz w:val="24"/>
          <w:szCs w:val="24"/>
        </w:rPr>
        <w:t>ERTL</w:t>
      </w:r>
      <w:r w:rsidRPr="00896236">
        <w:rPr>
          <w:rFonts w:cstheme="minorHAnsi"/>
          <w:sz w:val="24"/>
          <w:szCs w:val="24"/>
        </w:rPr>
        <w:tab/>
      </w:r>
      <w:r w:rsidRPr="00896236">
        <w:rPr>
          <w:rFonts w:cstheme="minorHAnsi"/>
          <w:sz w:val="24"/>
          <w:szCs w:val="24"/>
        </w:rPr>
        <w:tab/>
        <w:t>Emergency Remote Teaching and Learning</w:t>
      </w:r>
    </w:p>
    <w:p w14:paraId="68CC83B9" w14:textId="345F2C2C" w:rsidR="001F05DA" w:rsidRPr="00896236" w:rsidRDefault="001F05DA" w:rsidP="00896236">
      <w:pPr>
        <w:spacing w:line="360" w:lineRule="auto"/>
        <w:jc w:val="both"/>
        <w:rPr>
          <w:rFonts w:cstheme="minorHAnsi"/>
          <w:sz w:val="24"/>
          <w:szCs w:val="24"/>
        </w:rPr>
      </w:pPr>
      <w:r w:rsidRPr="00896236">
        <w:rPr>
          <w:rFonts w:cstheme="minorHAnsi"/>
          <w:sz w:val="24"/>
          <w:szCs w:val="24"/>
        </w:rPr>
        <w:t>ESRI</w:t>
      </w:r>
      <w:r w:rsidRPr="00896236">
        <w:rPr>
          <w:rFonts w:cstheme="minorHAnsi"/>
          <w:sz w:val="24"/>
          <w:szCs w:val="24"/>
        </w:rPr>
        <w:tab/>
      </w:r>
      <w:r w:rsidRPr="00896236">
        <w:rPr>
          <w:rFonts w:cstheme="minorHAnsi"/>
          <w:sz w:val="24"/>
          <w:szCs w:val="24"/>
        </w:rPr>
        <w:tab/>
        <w:t>Economic and Social Research Institute</w:t>
      </w:r>
    </w:p>
    <w:p w14:paraId="4BA6C163" w14:textId="32A115C2" w:rsidR="00DF3151" w:rsidRPr="00896236" w:rsidRDefault="00DF3151" w:rsidP="00896236">
      <w:pPr>
        <w:spacing w:line="360" w:lineRule="auto"/>
        <w:jc w:val="both"/>
        <w:rPr>
          <w:rFonts w:cstheme="minorHAnsi"/>
          <w:sz w:val="24"/>
          <w:szCs w:val="24"/>
        </w:rPr>
      </w:pPr>
      <w:r w:rsidRPr="00896236">
        <w:rPr>
          <w:rFonts w:cstheme="minorHAnsi"/>
          <w:sz w:val="24"/>
          <w:szCs w:val="24"/>
        </w:rPr>
        <w:t>ETB</w:t>
      </w:r>
      <w:r w:rsidRPr="00896236">
        <w:rPr>
          <w:rFonts w:cstheme="minorHAnsi"/>
          <w:sz w:val="24"/>
          <w:szCs w:val="24"/>
        </w:rPr>
        <w:tab/>
      </w:r>
      <w:r w:rsidRPr="00896236">
        <w:rPr>
          <w:rFonts w:cstheme="minorHAnsi"/>
          <w:sz w:val="24"/>
          <w:szCs w:val="24"/>
        </w:rPr>
        <w:tab/>
        <w:t>Education and Training Board</w:t>
      </w:r>
    </w:p>
    <w:p w14:paraId="14704C0D" w14:textId="77777777" w:rsidR="00DF3151" w:rsidRPr="00896236" w:rsidRDefault="00DF3151" w:rsidP="00896236">
      <w:pPr>
        <w:spacing w:line="360" w:lineRule="auto"/>
        <w:jc w:val="both"/>
        <w:rPr>
          <w:rFonts w:cstheme="minorHAnsi"/>
          <w:sz w:val="24"/>
          <w:szCs w:val="24"/>
        </w:rPr>
      </w:pPr>
      <w:r w:rsidRPr="00896236">
        <w:rPr>
          <w:rFonts w:cstheme="minorHAnsi"/>
          <w:sz w:val="24"/>
          <w:szCs w:val="24"/>
        </w:rPr>
        <w:t>EU</w:t>
      </w:r>
      <w:r w:rsidRPr="00896236">
        <w:rPr>
          <w:rFonts w:cstheme="minorHAnsi"/>
          <w:sz w:val="24"/>
          <w:szCs w:val="24"/>
        </w:rPr>
        <w:tab/>
      </w:r>
      <w:r w:rsidRPr="00896236">
        <w:rPr>
          <w:rFonts w:cstheme="minorHAnsi"/>
          <w:sz w:val="24"/>
          <w:szCs w:val="24"/>
        </w:rPr>
        <w:tab/>
        <w:t>European Union</w:t>
      </w:r>
    </w:p>
    <w:p w14:paraId="41DF4D09" w14:textId="77777777" w:rsidR="00C91E2E" w:rsidRPr="00896236" w:rsidRDefault="00C91E2E" w:rsidP="00896236">
      <w:pPr>
        <w:spacing w:line="360" w:lineRule="auto"/>
        <w:jc w:val="both"/>
        <w:rPr>
          <w:rFonts w:cstheme="minorHAnsi"/>
          <w:sz w:val="24"/>
          <w:szCs w:val="24"/>
        </w:rPr>
      </w:pPr>
      <w:r w:rsidRPr="00896236">
        <w:rPr>
          <w:rFonts w:cstheme="minorHAnsi"/>
          <w:sz w:val="24"/>
          <w:szCs w:val="24"/>
        </w:rPr>
        <w:t>FE</w:t>
      </w:r>
      <w:r w:rsidRPr="00896236">
        <w:rPr>
          <w:rFonts w:cstheme="minorHAnsi"/>
          <w:sz w:val="24"/>
          <w:szCs w:val="24"/>
        </w:rPr>
        <w:tab/>
      </w:r>
      <w:r w:rsidRPr="00896236">
        <w:rPr>
          <w:rFonts w:cstheme="minorHAnsi"/>
          <w:sz w:val="24"/>
          <w:szCs w:val="24"/>
        </w:rPr>
        <w:tab/>
        <w:t>Further Education</w:t>
      </w:r>
    </w:p>
    <w:p w14:paraId="0B9F9355" w14:textId="59DD2C4B" w:rsidR="0052098E" w:rsidRPr="00896236" w:rsidRDefault="0052098E" w:rsidP="00896236">
      <w:pPr>
        <w:spacing w:line="360" w:lineRule="auto"/>
        <w:jc w:val="both"/>
        <w:rPr>
          <w:rFonts w:cstheme="minorHAnsi"/>
          <w:sz w:val="24"/>
          <w:szCs w:val="24"/>
        </w:rPr>
      </w:pPr>
      <w:r w:rsidRPr="00896236">
        <w:rPr>
          <w:rFonts w:cstheme="minorHAnsi"/>
          <w:sz w:val="24"/>
          <w:szCs w:val="24"/>
        </w:rPr>
        <w:t>GDP</w:t>
      </w:r>
      <w:r w:rsidRPr="00896236">
        <w:rPr>
          <w:rFonts w:cstheme="minorHAnsi"/>
          <w:sz w:val="24"/>
          <w:szCs w:val="24"/>
        </w:rPr>
        <w:tab/>
      </w:r>
      <w:r w:rsidRPr="00896236">
        <w:rPr>
          <w:rFonts w:cstheme="minorHAnsi"/>
          <w:sz w:val="24"/>
          <w:szCs w:val="24"/>
        </w:rPr>
        <w:tab/>
        <w:t>Gross Domestic Product</w:t>
      </w:r>
    </w:p>
    <w:p w14:paraId="46596E7E" w14:textId="1028E32B" w:rsidR="00C91E2E" w:rsidRPr="00896236" w:rsidRDefault="00C91E2E" w:rsidP="00896236">
      <w:pPr>
        <w:spacing w:line="360" w:lineRule="auto"/>
        <w:jc w:val="both"/>
        <w:rPr>
          <w:rFonts w:cstheme="minorHAnsi"/>
          <w:sz w:val="24"/>
          <w:szCs w:val="24"/>
        </w:rPr>
      </w:pPr>
      <w:r w:rsidRPr="00896236">
        <w:rPr>
          <w:rFonts w:cstheme="minorHAnsi"/>
          <w:sz w:val="24"/>
          <w:szCs w:val="24"/>
        </w:rPr>
        <w:t>HE</w:t>
      </w:r>
      <w:r w:rsidRPr="00896236">
        <w:rPr>
          <w:rFonts w:cstheme="minorHAnsi"/>
          <w:sz w:val="24"/>
          <w:szCs w:val="24"/>
        </w:rPr>
        <w:tab/>
      </w:r>
      <w:r w:rsidRPr="00896236">
        <w:rPr>
          <w:rFonts w:cstheme="minorHAnsi"/>
          <w:sz w:val="24"/>
          <w:szCs w:val="24"/>
        </w:rPr>
        <w:tab/>
        <w:t>Higher Education</w:t>
      </w:r>
    </w:p>
    <w:p w14:paraId="433A8E7F" w14:textId="367F2273" w:rsidR="00DF3151" w:rsidRPr="00896236" w:rsidRDefault="00DF3151" w:rsidP="00896236">
      <w:pPr>
        <w:spacing w:line="360" w:lineRule="auto"/>
        <w:jc w:val="both"/>
        <w:rPr>
          <w:rFonts w:cstheme="minorHAnsi"/>
          <w:sz w:val="24"/>
          <w:szCs w:val="24"/>
        </w:rPr>
      </w:pPr>
      <w:r w:rsidRPr="00896236">
        <w:rPr>
          <w:rFonts w:cstheme="minorHAnsi"/>
          <w:sz w:val="24"/>
          <w:szCs w:val="24"/>
        </w:rPr>
        <w:t>HEA</w:t>
      </w:r>
      <w:r w:rsidRPr="00896236">
        <w:rPr>
          <w:rFonts w:cstheme="minorHAnsi"/>
          <w:sz w:val="24"/>
          <w:szCs w:val="24"/>
        </w:rPr>
        <w:tab/>
      </w:r>
      <w:r w:rsidRPr="00896236">
        <w:rPr>
          <w:rFonts w:cstheme="minorHAnsi"/>
          <w:sz w:val="24"/>
          <w:szCs w:val="24"/>
        </w:rPr>
        <w:tab/>
        <w:t>Higher Education Authority</w:t>
      </w:r>
    </w:p>
    <w:p w14:paraId="209DDDD6" w14:textId="77777777" w:rsidR="0052098E" w:rsidRPr="00896236" w:rsidRDefault="0052098E" w:rsidP="00896236">
      <w:pPr>
        <w:spacing w:line="360" w:lineRule="auto"/>
        <w:jc w:val="both"/>
        <w:rPr>
          <w:rFonts w:cstheme="minorHAnsi"/>
          <w:sz w:val="24"/>
          <w:szCs w:val="24"/>
        </w:rPr>
      </w:pPr>
      <w:r w:rsidRPr="00896236">
        <w:rPr>
          <w:rFonts w:cstheme="minorHAnsi"/>
          <w:sz w:val="24"/>
          <w:szCs w:val="24"/>
        </w:rPr>
        <w:t>HEI</w:t>
      </w:r>
      <w:r w:rsidRPr="00896236">
        <w:rPr>
          <w:rFonts w:cstheme="minorHAnsi"/>
          <w:sz w:val="24"/>
          <w:szCs w:val="24"/>
        </w:rPr>
        <w:tab/>
      </w:r>
      <w:r w:rsidRPr="00896236">
        <w:rPr>
          <w:rFonts w:cstheme="minorHAnsi"/>
          <w:sz w:val="24"/>
          <w:szCs w:val="24"/>
        </w:rPr>
        <w:tab/>
        <w:t>Higher Education Institution</w:t>
      </w:r>
    </w:p>
    <w:p w14:paraId="7EABE5E4" w14:textId="339A70A7" w:rsidR="004F0CBB" w:rsidRPr="00896236" w:rsidRDefault="004F0CBB" w:rsidP="00896236">
      <w:pPr>
        <w:spacing w:line="360" w:lineRule="auto"/>
        <w:jc w:val="both"/>
        <w:rPr>
          <w:rFonts w:cstheme="minorHAnsi"/>
          <w:sz w:val="24"/>
          <w:szCs w:val="24"/>
        </w:rPr>
      </w:pPr>
      <w:r w:rsidRPr="00896236">
        <w:rPr>
          <w:rFonts w:cstheme="minorHAnsi"/>
          <w:sz w:val="24"/>
          <w:szCs w:val="24"/>
        </w:rPr>
        <w:t>ICT</w:t>
      </w:r>
      <w:r w:rsidRPr="00896236">
        <w:rPr>
          <w:rFonts w:cstheme="minorHAnsi"/>
          <w:sz w:val="24"/>
          <w:szCs w:val="24"/>
        </w:rPr>
        <w:tab/>
      </w:r>
      <w:r w:rsidRPr="00896236">
        <w:rPr>
          <w:rFonts w:cstheme="minorHAnsi"/>
          <w:sz w:val="24"/>
          <w:szCs w:val="24"/>
        </w:rPr>
        <w:tab/>
        <w:t>Information and Communications Technology</w:t>
      </w:r>
    </w:p>
    <w:p w14:paraId="6F0A69DB" w14:textId="3FC83527" w:rsidR="00C91E2E" w:rsidRPr="00896236" w:rsidRDefault="00C91E2E" w:rsidP="00896236">
      <w:pPr>
        <w:spacing w:line="360" w:lineRule="auto"/>
        <w:jc w:val="both"/>
        <w:rPr>
          <w:rFonts w:cstheme="minorHAnsi"/>
          <w:sz w:val="24"/>
          <w:szCs w:val="24"/>
        </w:rPr>
      </w:pPr>
      <w:r w:rsidRPr="00896236">
        <w:rPr>
          <w:rFonts w:cstheme="minorHAnsi"/>
          <w:sz w:val="24"/>
          <w:szCs w:val="24"/>
        </w:rPr>
        <w:t>IoT</w:t>
      </w:r>
      <w:r w:rsidRPr="00896236">
        <w:rPr>
          <w:rFonts w:cstheme="minorHAnsi"/>
          <w:sz w:val="24"/>
          <w:szCs w:val="24"/>
        </w:rPr>
        <w:tab/>
      </w:r>
      <w:r w:rsidRPr="00896236">
        <w:rPr>
          <w:rFonts w:cstheme="minorHAnsi"/>
          <w:sz w:val="24"/>
          <w:szCs w:val="24"/>
        </w:rPr>
        <w:tab/>
        <w:t>Institute of Technology</w:t>
      </w:r>
    </w:p>
    <w:p w14:paraId="1964010F" w14:textId="3F22B4DB" w:rsidR="00425AD7" w:rsidRPr="00896236" w:rsidRDefault="00425AD7" w:rsidP="00896236">
      <w:pPr>
        <w:spacing w:line="360" w:lineRule="auto"/>
        <w:jc w:val="both"/>
        <w:rPr>
          <w:rFonts w:cstheme="minorHAnsi"/>
          <w:sz w:val="24"/>
          <w:szCs w:val="24"/>
        </w:rPr>
      </w:pPr>
      <w:r w:rsidRPr="00896236">
        <w:rPr>
          <w:rFonts w:cstheme="minorHAnsi"/>
          <w:sz w:val="24"/>
          <w:szCs w:val="24"/>
        </w:rPr>
        <w:t>LCA</w:t>
      </w:r>
      <w:r w:rsidRPr="00896236">
        <w:rPr>
          <w:rFonts w:cstheme="minorHAnsi"/>
          <w:sz w:val="24"/>
          <w:szCs w:val="24"/>
        </w:rPr>
        <w:tab/>
      </w:r>
      <w:r w:rsidRPr="00896236">
        <w:rPr>
          <w:rFonts w:cstheme="minorHAnsi"/>
          <w:sz w:val="24"/>
          <w:szCs w:val="24"/>
        </w:rPr>
        <w:tab/>
        <w:t>Leaving Certificate Applied</w:t>
      </w:r>
    </w:p>
    <w:p w14:paraId="52948454" w14:textId="26A55991" w:rsidR="00425AD7" w:rsidRPr="00896236" w:rsidRDefault="00425AD7" w:rsidP="00896236">
      <w:pPr>
        <w:spacing w:line="360" w:lineRule="auto"/>
        <w:jc w:val="both"/>
        <w:rPr>
          <w:rFonts w:cstheme="minorHAnsi"/>
          <w:sz w:val="24"/>
          <w:szCs w:val="24"/>
        </w:rPr>
      </w:pPr>
      <w:r w:rsidRPr="00896236">
        <w:rPr>
          <w:rFonts w:cstheme="minorHAnsi"/>
          <w:sz w:val="24"/>
          <w:szCs w:val="24"/>
        </w:rPr>
        <w:t>LCVP</w:t>
      </w:r>
      <w:r w:rsidRPr="00896236">
        <w:rPr>
          <w:rFonts w:cstheme="minorHAnsi"/>
          <w:sz w:val="24"/>
          <w:szCs w:val="24"/>
        </w:rPr>
        <w:tab/>
      </w:r>
      <w:r w:rsidRPr="00896236">
        <w:rPr>
          <w:rFonts w:cstheme="minorHAnsi"/>
          <w:sz w:val="24"/>
          <w:szCs w:val="24"/>
        </w:rPr>
        <w:tab/>
        <w:t>Leaving Certificate Vocational Programme</w:t>
      </w:r>
    </w:p>
    <w:p w14:paraId="6BE9D99C" w14:textId="532521F5" w:rsidR="00DF3151" w:rsidRPr="00896236" w:rsidRDefault="00DF3151" w:rsidP="00896236">
      <w:pPr>
        <w:spacing w:line="360" w:lineRule="auto"/>
        <w:jc w:val="both"/>
        <w:rPr>
          <w:rFonts w:cstheme="minorHAnsi"/>
          <w:sz w:val="24"/>
          <w:szCs w:val="24"/>
        </w:rPr>
      </w:pPr>
      <w:r w:rsidRPr="00896236">
        <w:rPr>
          <w:rFonts w:cstheme="minorHAnsi"/>
          <w:sz w:val="24"/>
          <w:szCs w:val="24"/>
        </w:rPr>
        <w:lastRenderedPageBreak/>
        <w:t>NAPD</w:t>
      </w:r>
      <w:r w:rsidRPr="00896236">
        <w:rPr>
          <w:rFonts w:cstheme="minorHAnsi"/>
          <w:sz w:val="24"/>
          <w:szCs w:val="24"/>
        </w:rPr>
        <w:tab/>
      </w:r>
      <w:r w:rsidRPr="00896236">
        <w:rPr>
          <w:rFonts w:cstheme="minorHAnsi"/>
          <w:sz w:val="24"/>
          <w:szCs w:val="24"/>
        </w:rPr>
        <w:tab/>
        <w:t>National Association of Principals and Deputy Principals</w:t>
      </w:r>
    </w:p>
    <w:p w14:paraId="6F53A880" w14:textId="77777777" w:rsidR="0029002D" w:rsidRDefault="0029002D" w:rsidP="00896236">
      <w:pPr>
        <w:spacing w:line="360" w:lineRule="auto"/>
        <w:jc w:val="both"/>
        <w:rPr>
          <w:rFonts w:cstheme="minorHAnsi"/>
          <w:sz w:val="24"/>
          <w:szCs w:val="24"/>
        </w:rPr>
      </w:pPr>
      <w:r>
        <w:rPr>
          <w:rFonts w:cstheme="minorHAnsi"/>
          <w:sz w:val="24"/>
          <w:szCs w:val="24"/>
        </w:rPr>
        <w:t>NCCA</w:t>
      </w:r>
      <w:r>
        <w:rPr>
          <w:rFonts w:cstheme="minorHAnsi"/>
          <w:sz w:val="24"/>
          <w:szCs w:val="24"/>
        </w:rPr>
        <w:tab/>
      </w:r>
      <w:r>
        <w:rPr>
          <w:rFonts w:cstheme="minorHAnsi"/>
          <w:sz w:val="24"/>
          <w:szCs w:val="24"/>
        </w:rPr>
        <w:tab/>
        <w:t>National Council for Curriculum and Assessment</w:t>
      </w:r>
    </w:p>
    <w:p w14:paraId="11B566AA" w14:textId="779A2393" w:rsidR="00DF3151" w:rsidRPr="00896236" w:rsidRDefault="00DF3151" w:rsidP="00896236">
      <w:pPr>
        <w:spacing w:line="360" w:lineRule="auto"/>
        <w:jc w:val="both"/>
        <w:rPr>
          <w:rFonts w:cstheme="minorHAnsi"/>
          <w:sz w:val="24"/>
          <w:szCs w:val="24"/>
        </w:rPr>
      </w:pPr>
      <w:r w:rsidRPr="00896236">
        <w:rPr>
          <w:rFonts w:cstheme="minorHAnsi"/>
          <w:sz w:val="24"/>
          <w:szCs w:val="24"/>
        </w:rPr>
        <w:t>NERI</w:t>
      </w:r>
      <w:r w:rsidRPr="00896236">
        <w:rPr>
          <w:rFonts w:cstheme="minorHAnsi"/>
          <w:sz w:val="24"/>
          <w:szCs w:val="24"/>
        </w:rPr>
        <w:tab/>
      </w:r>
      <w:r w:rsidRPr="00896236">
        <w:rPr>
          <w:rFonts w:cstheme="minorHAnsi"/>
          <w:sz w:val="24"/>
          <w:szCs w:val="24"/>
        </w:rPr>
        <w:tab/>
        <w:t>Nevin Economic Research Institute</w:t>
      </w:r>
    </w:p>
    <w:p w14:paraId="1EA8C0F2" w14:textId="4AFEC374" w:rsidR="00C91E2E" w:rsidRPr="00896236" w:rsidRDefault="00C91E2E" w:rsidP="00896236">
      <w:pPr>
        <w:spacing w:line="360" w:lineRule="auto"/>
        <w:jc w:val="both"/>
        <w:rPr>
          <w:rFonts w:cstheme="minorHAnsi"/>
          <w:sz w:val="24"/>
          <w:szCs w:val="24"/>
        </w:rPr>
      </w:pPr>
      <w:r w:rsidRPr="00896236">
        <w:rPr>
          <w:rFonts w:cstheme="minorHAnsi"/>
          <w:sz w:val="24"/>
          <w:szCs w:val="24"/>
        </w:rPr>
        <w:t>NFQ</w:t>
      </w:r>
      <w:r w:rsidRPr="00896236">
        <w:rPr>
          <w:rFonts w:cstheme="minorHAnsi"/>
          <w:sz w:val="24"/>
          <w:szCs w:val="24"/>
        </w:rPr>
        <w:tab/>
      </w:r>
      <w:r w:rsidRPr="00896236">
        <w:rPr>
          <w:rFonts w:cstheme="minorHAnsi"/>
          <w:sz w:val="24"/>
          <w:szCs w:val="24"/>
        </w:rPr>
        <w:tab/>
        <w:t>National Framework of Qualifications</w:t>
      </w:r>
    </w:p>
    <w:p w14:paraId="14203326" w14:textId="77777777" w:rsidR="00DF3151" w:rsidRPr="00896236" w:rsidRDefault="00DF3151" w:rsidP="00896236">
      <w:pPr>
        <w:spacing w:line="360" w:lineRule="auto"/>
        <w:jc w:val="both"/>
        <w:rPr>
          <w:rFonts w:cstheme="minorHAnsi"/>
          <w:sz w:val="24"/>
          <w:szCs w:val="24"/>
        </w:rPr>
      </w:pPr>
      <w:r w:rsidRPr="00896236">
        <w:rPr>
          <w:rFonts w:cstheme="minorHAnsi"/>
          <w:sz w:val="24"/>
          <w:szCs w:val="24"/>
        </w:rPr>
        <w:t>OECD</w:t>
      </w:r>
      <w:r w:rsidRPr="00896236">
        <w:rPr>
          <w:rFonts w:cstheme="minorHAnsi"/>
          <w:sz w:val="24"/>
          <w:szCs w:val="24"/>
        </w:rPr>
        <w:tab/>
      </w:r>
      <w:r w:rsidRPr="00896236">
        <w:rPr>
          <w:rFonts w:cstheme="minorHAnsi"/>
          <w:sz w:val="24"/>
          <w:szCs w:val="24"/>
        </w:rPr>
        <w:tab/>
        <w:t>Organisation for Economic Co-operation and Development</w:t>
      </w:r>
    </w:p>
    <w:p w14:paraId="101B2129" w14:textId="77777777" w:rsidR="00DF3151" w:rsidRPr="00896236" w:rsidRDefault="00DF3151" w:rsidP="00896236">
      <w:pPr>
        <w:spacing w:line="360" w:lineRule="auto"/>
        <w:jc w:val="both"/>
        <w:rPr>
          <w:rFonts w:cstheme="minorHAnsi"/>
          <w:sz w:val="24"/>
          <w:szCs w:val="24"/>
        </w:rPr>
      </w:pPr>
      <w:r w:rsidRPr="00896236">
        <w:rPr>
          <w:rFonts w:cstheme="minorHAnsi"/>
          <w:sz w:val="24"/>
          <w:szCs w:val="24"/>
        </w:rPr>
        <w:t>SJI</w:t>
      </w:r>
      <w:r w:rsidRPr="00896236">
        <w:rPr>
          <w:rFonts w:cstheme="minorHAnsi"/>
          <w:sz w:val="24"/>
          <w:szCs w:val="24"/>
        </w:rPr>
        <w:tab/>
      </w:r>
      <w:r w:rsidRPr="00896236">
        <w:rPr>
          <w:rFonts w:cstheme="minorHAnsi"/>
          <w:sz w:val="24"/>
          <w:szCs w:val="24"/>
        </w:rPr>
        <w:tab/>
        <w:t>Social Justice Ireland</w:t>
      </w:r>
    </w:p>
    <w:p w14:paraId="68D4BE29" w14:textId="19E36723" w:rsidR="004F0CBB" w:rsidRPr="00896236" w:rsidRDefault="004F0CBB" w:rsidP="00896236">
      <w:pPr>
        <w:spacing w:line="360" w:lineRule="auto"/>
        <w:jc w:val="both"/>
        <w:rPr>
          <w:rFonts w:cstheme="minorHAnsi"/>
          <w:sz w:val="24"/>
          <w:szCs w:val="24"/>
        </w:rPr>
      </w:pPr>
      <w:r w:rsidRPr="00896236">
        <w:rPr>
          <w:rFonts w:cstheme="minorHAnsi"/>
          <w:sz w:val="24"/>
          <w:szCs w:val="24"/>
        </w:rPr>
        <w:t>SUSI</w:t>
      </w:r>
      <w:r w:rsidRPr="00896236">
        <w:rPr>
          <w:rFonts w:cstheme="minorHAnsi"/>
          <w:sz w:val="24"/>
          <w:szCs w:val="24"/>
        </w:rPr>
        <w:tab/>
      </w:r>
      <w:r w:rsidRPr="00896236">
        <w:rPr>
          <w:rFonts w:cstheme="minorHAnsi"/>
          <w:sz w:val="24"/>
          <w:szCs w:val="24"/>
        </w:rPr>
        <w:tab/>
        <w:t>Student Universal Support Ireland</w:t>
      </w:r>
    </w:p>
    <w:p w14:paraId="3C9148DC" w14:textId="0CC7D220" w:rsidR="00C91E2E" w:rsidRPr="00896236" w:rsidRDefault="00C91E2E" w:rsidP="00896236">
      <w:pPr>
        <w:spacing w:line="360" w:lineRule="auto"/>
        <w:jc w:val="both"/>
        <w:rPr>
          <w:rFonts w:cstheme="minorHAnsi"/>
          <w:sz w:val="24"/>
          <w:szCs w:val="24"/>
        </w:rPr>
      </w:pPr>
      <w:r w:rsidRPr="00896236">
        <w:rPr>
          <w:rFonts w:cstheme="minorHAnsi"/>
          <w:sz w:val="24"/>
          <w:szCs w:val="24"/>
        </w:rPr>
        <w:t>TU</w:t>
      </w:r>
      <w:r w:rsidRPr="00896236">
        <w:rPr>
          <w:rFonts w:cstheme="minorHAnsi"/>
          <w:sz w:val="24"/>
          <w:szCs w:val="24"/>
        </w:rPr>
        <w:tab/>
      </w:r>
      <w:r w:rsidRPr="00896236">
        <w:rPr>
          <w:rFonts w:cstheme="minorHAnsi"/>
          <w:sz w:val="24"/>
          <w:szCs w:val="24"/>
        </w:rPr>
        <w:tab/>
        <w:t>Technological University</w:t>
      </w:r>
    </w:p>
    <w:p w14:paraId="15B93E62" w14:textId="4135808C" w:rsidR="00DF3151" w:rsidRPr="00896236" w:rsidRDefault="00DF3151" w:rsidP="00896236">
      <w:pPr>
        <w:spacing w:line="360" w:lineRule="auto"/>
        <w:jc w:val="both"/>
        <w:rPr>
          <w:rFonts w:cstheme="minorHAnsi"/>
          <w:sz w:val="24"/>
          <w:szCs w:val="24"/>
        </w:rPr>
      </w:pPr>
      <w:r w:rsidRPr="00896236">
        <w:rPr>
          <w:rFonts w:cstheme="minorHAnsi"/>
          <w:sz w:val="24"/>
          <w:szCs w:val="24"/>
        </w:rPr>
        <w:t>TUI</w:t>
      </w:r>
      <w:r w:rsidRPr="00896236">
        <w:rPr>
          <w:rFonts w:cstheme="minorHAnsi"/>
          <w:sz w:val="24"/>
          <w:szCs w:val="24"/>
        </w:rPr>
        <w:tab/>
      </w:r>
      <w:r w:rsidRPr="00896236">
        <w:rPr>
          <w:rFonts w:cstheme="minorHAnsi"/>
          <w:sz w:val="24"/>
          <w:szCs w:val="24"/>
        </w:rPr>
        <w:tab/>
        <w:t>Teachers’ Union of Ireland</w:t>
      </w:r>
    </w:p>
    <w:p w14:paraId="6A665339" w14:textId="7E801CBE" w:rsidR="001F05DA" w:rsidRPr="00896236" w:rsidRDefault="001F05DA" w:rsidP="00896236">
      <w:pPr>
        <w:spacing w:line="360" w:lineRule="auto"/>
        <w:jc w:val="both"/>
        <w:rPr>
          <w:rFonts w:cstheme="minorHAnsi"/>
          <w:sz w:val="24"/>
          <w:szCs w:val="24"/>
        </w:rPr>
      </w:pPr>
      <w:r w:rsidRPr="00896236">
        <w:rPr>
          <w:rFonts w:cstheme="minorHAnsi"/>
          <w:sz w:val="24"/>
          <w:szCs w:val="24"/>
        </w:rPr>
        <w:t>UNDP</w:t>
      </w:r>
      <w:r w:rsidRPr="00896236">
        <w:rPr>
          <w:rFonts w:cstheme="minorHAnsi"/>
          <w:sz w:val="24"/>
          <w:szCs w:val="24"/>
        </w:rPr>
        <w:tab/>
      </w:r>
      <w:r w:rsidRPr="00896236">
        <w:rPr>
          <w:rFonts w:cstheme="minorHAnsi"/>
          <w:sz w:val="24"/>
          <w:szCs w:val="24"/>
        </w:rPr>
        <w:tab/>
        <w:t>United Nations Development Programme</w:t>
      </w:r>
    </w:p>
    <w:p w14:paraId="7E9AF463" w14:textId="43F8570C" w:rsidR="00DF3151" w:rsidRPr="00896236" w:rsidRDefault="00DF3151" w:rsidP="00896236">
      <w:pPr>
        <w:spacing w:line="360" w:lineRule="auto"/>
        <w:jc w:val="both"/>
        <w:rPr>
          <w:rFonts w:cstheme="minorHAnsi"/>
          <w:sz w:val="24"/>
          <w:szCs w:val="24"/>
        </w:rPr>
      </w:pPr>
      <w:r w:rsidRPr="00896236">
        <w:rPr>
          <w:rFonts w:cstheme="minorHAnsi"/>
          <w:sz w:val="24"/>
          <w:szCs w:val="24"/>
        </w:rPr>
        <w:br w:type="page"/>
      </w:r>
    </w:p>
    <w:p w14:paraId="199E8269" w14:textId="77777777" w:rsidR="00DF3151" w:rsidRPr="00896236" w:rsidRDefault="00DF3151" w:rsidP="00896236">
      <w:pPr>
        <w:spacing w:line="360" w:lineRule="auto"/>
        <w:jc w:val="both"/>
        <w:rPr>
          <w:rFonts w:cstheme="minorHAnsi"/>
          <w:b/>
          <w:sz w:val="24"/>
          <w:szCs w:val="24"/>
        </w:rPr>
      </w:pPr>
      <w:r w:rsidRPr="00896236">
        <w:rPr>
          <w:rFonts w:cstheme="minorHAnsi"/>
          <w:b/>
          <w:sz w:val="24"/>
          <w:szCs w:val="24"/>
        </w:rPr>
        <w:lastRenderedPageBreak/>
        <w:t>References</w:t>
      </w:r>
    </w:p>
    <w:p w14:paraId="52CD977A" w14:textId="77777777" w:rsidR="00DF3151" w:rsidRPr="00896236" w:rsidRDefault="00DF3151" w:rsidP="00896236">
      <w:pPr>
        <w:autoSpaceDE w:val="0"/>
        <w:autoSpaceDN w:val="0"/>
        <w:adjustRightInd w:val="0"/>
        <w:spacing w:after="0" w:line="360" w:lineRule="auto"/>
        <w:jc w:val="both"/>
        <w:rPr>
          <w:rFonts w:cstheme="minorHAnsi"/>
          <w:sz w:val="24"/>
          <w:szCs w:val="24"/>
        </w:rPr>
      </w:pPr>
      <w:r w:rsidRPr="00896236">
        <w:rPr>
          <w:rFonts w:cstheme="minorHAnsi"/>
          <w:sz w:val="24"/>
          <w:szCs w:val="24"/>
        </w:rPr>
        <w:t xml:space="preserve">Boyle (2017), </w:t>
      </w:r>
      <w:r w:rsidRPr="00896236">
        <w:rPr>
          <w:rFonts w:cstheme="minorHAnsi"/>
          <w:i/>
          <w:sz w:val="24"/>
          <w:szCs w:val="24"/>
        </w:rPr>
        <w:t>Public Sector Trends 2017</w:t>
      </w:r>
      <w:r w:rsidRPr="00896236">
        <w:rPr>
          <w:rFonts w:cstheme="minorHAnsi"/>
          <w:sz w:val="24"/>
          <w:szCs w:val="24"/>
        </w:rPr>
        <w:t>, Dublin: Institute of Public Administration</w:t>
      </w:r>
    </w:p>
    <w:p w14:paraId="343916A3" w14:textId="77777777" w:rsidR="00DF3151" w:rsidRPr="00896236" w:rsidRDefault="00DF3151" w:rsidP="00896236">
      <w:pPr>
        <w:autoSpaceDE w:val="0"/>
        <w:autoSpaceDN w:val="0"/>
        <w:adjustRightInd w:val="0"/>
        <w:spacing w:after="0" w:line="360" w:lineRule="auto"/>
        <w:jc w:val="both"/>
        <w:rPr>
          <w:rFonts w:cstheme="minorHAnsi"/>
          <w:sz w:val="24"/>
          <w:szCs w:val="24"/>
        </w:rPr>
      </w:pPr>
      <w:r w:rsidRPr="00896236">
        <w:rPr>
          <w:rFonts w:cstheme="minorHAnsi"/>
          <w:sz w:val="24"/>
          <w:szCs w:val="24"/>
        </w:rPr>
        <w:t xml:space="preserve">Boyle (2018), </w:t>
      </w:r>
      <w:r w:rsidRPr="00896236">
        <w:rPr>
          <w:rFonts w:cstheme="minorHAnsi"/>
          <w:i/>
          <w:sz w:val="24"/>
          <w:szCs w:val="24"/>
        </w:rPr>
        <w:t>Public Sector Trends 2018</w:t>
      </w:r>
      <w:r w:rsidRPr="00896236">
        <w:rPr>
          <w:rFonts w:cstheme="minorHAnsi"/>
          <w:sz w:val="24"/>
          <w:szCs w:val="24"/>
        </w:rPr>
        <w:t>, Dublin: Institute of Public Administration</w:t>
      </w:r>
    </w:p>
    <w:p w14:paraId="0D263399" w14:textId="77777777" w:rsidR="00DE4CD9" w:rsidRPr="00896236" w:rsidRDefault="00DE4CD9" w:rsidP="00896236">
      <w:pPr>
        <w:autoSpaceDE w:val="0"/>
        <w:autoSpaceDN w:val="0"/>
        <w:adjustRightInd w:val="0"/>
        <w:spacing w:after="0" w:line="360" w:lineRule="auto"/>
        <w:jc w:val="both"/>
        <w:rPr>
          <w:rFonts w:cstheme="minorHAnsi"/>
          <w:sz w:val="24"/>
          <w:szCs w:val="24"/>
        </w:rPr>
      </w:pPr>
      <w:r w:rsidRPr="00896236">
        <w:rPr>
          <w:rFonts w:cstheme="minorHAnsi"/>
          <w:sz w:val="24"/>
          <w:szCs w:val="24"/>
        </w:rPr>
        <w:t xml:space="preserve">Boyle (2019), </w:t>
      </w:r>
      <w:r w:rsidRPr="00896236">
        <w:rPr>
          <w:rFonts w:cstheme="minorHAnsi"/>
          <w:i/>
          <w:sz w:val="24"/>
          <w:szCs w:val="24"/>
        </w:rPr>
        <w:t>Public Sector Trends 2019</w:t>
      </w:r>
      <w:r w:rsidRPr="00896236">
        <w:rPr>
          <w:rFonts w:cstheme="minorHAnsi"/>
          <w:sz w:val="24"/>
          <w:szCs w:val="24"/>
        </w:rPr>
        <w:t>, Dublin: Institute of Public Administration</w:t>
      </w:r>
    </w:p>
    <w:p w14:paraId="16BDDAB9" w14:textId="6FE7442B" w:rsidR="00666E2F" w:rsidRPr="00896236" w:rsidRDefault="00666E2F" w:rsidP="00896236">
      <w:pPr>
        <w:spacing w:line="360" w:lineRule="auto"/>
        <w:jc w:val="both"/>
        <w:rPr>
          <w:rFonts w:cstheme="minorHAnsi"/>
          <w:sz w:val="24"/>
          <w:szCs w:val="24"/>
        </w:rPr>
      </w:pPr>
      <w:r w:rsidRPr="00896236">
        <w:rPr>
          <w:rFonts w:cstheme="minorHAnsi"/>
          <w:sz w:val="24"/>
          <w:szCs w:val="24"/>
        </w:rPr>
        <w:t xml:space="preserve">Clark, C. &amp; Kavanagh, C. (2021), </w:t>
      </w:r>
      <w:r w:rsidRPr="00896236">
        <w:rPr>
          <w:rFonts w:cstheme="minorHAnsi"/>
          <w:i/>
          <w:iCs/>
          <w:sz w:val="24"/>
          <w:szCs w:val="24"/>
        </w:rPr>
        <w:t>Measuring Progress: The Sustainable Progress Index 2021</w:t>
      </w:r>
      <w:r w:rsidRPr="00896236">
        <w:rPr>
          <w:rFonts w:cstheme="minorHAnsi"/>
          <w:sz w:val="24"/>
          <w:szCs w:val="24"/>
        </w:rPr>
        <w:t>, Dublin: Social Justice Ireland</w:t>
      </w:r>
    </w:p>
    <w:p w14:paraId="1356C088" w14:textId="77777777" w:rsidR="004F0CBB" w:rsidRPr="00896236" w:rsidRDefault="004F0CBB" w:rsidP="00896236">
      <w:pPr>
        <w:autoSpaceDE w:val="0"/>
        <w:autoSpaceDN w:val="0"/>
        <w:adjustRightInd w:val="0"/>
        <w:spacing w:after="0" w:line="360" w:lineRule="auto"/>
        <w:rPr>
          <w:rFonts w:cstheme="minorHAnsi"/>
          <w:sz w:val="24"/>
          <w:szCs w:val="24"/>
        </w:rPr>
      </w:pPr>
      <w:r w:rsidRPr="00896236">
        <w:rPr>
          <w:rFonts w:cstheme="minorHAnsi"/>
          <w:sz w:val="24"/>
          <w:szCs w:val="24"/>
        </w:rPr>
        <w:t xml:space="preserve">Clarke, M., Kenny, A. &amp; Loxley, A. (2015), </w:t>
      </w:r>
      <w:r w:rsidRPr="00896236">
        <w:rPr>
          <w:rFonts w:cstheme="minorHAnsi"/>
          <w:i/>
          <w:sz w:val="24"/>
          <w:szCs w:val="24"/>
        </w:rPr>
        <w:t>Creating a Supportive Working Environment for Academics in Higher Education</w:t>
      </w:r>
      <w:r w:rsidRPr="00896236">
        <w:rPr>
          <w:rFonts w:cstheme="minorHAnsi"/>
          <w:sz w:val="24"/>
          <w:szCs w:val="24"/>
        </w:rPr>
        <w:t>: Country Report Ireland, Dublin: TUI/IFUT</w:t>
      </w:r>
    </w:p>
    <w:p w14:paraId="3CF145C4" w14:textId="071889A7" w:rsidR="00774CF1" w:rsidRPr="00896236" w:rsidRDefault="00774CF1" w:rsidP="00896236">
      <w:pPr>
        <w:spacing w:line="360" w:lineRule="auto"/>
        <w:jc w:val="both"/>
        <w:rPr>
          <w:rFonts w:cstheme="minorHAnsi"/>
          <w:sz w:val="24"/>
          <w:szCs w:val="24"/>
        </w:rPr>
      </w:pPr>
      <w:r w:rsidRPr="00896236">
        <w:rPr>
          <w:rFonts w:cstheme="minorHAnsi"/>
          <w:sz w:val="24"/>
          <w:szCs w:val="24"/>
        </w:rPr>
        <w:t xml:space="preserve">Clerkin, A., Perkins, R. &amp; Chubb, E. (2020), </w:t>
      </w:r>
      <w:r w:rsidRPr="00896236">
        <w:rPr>
          <w:rFonts w:cstheme="minorHAnsi"/>
          <w:i/>
          <w:iCs/>
          <w:sz w:val="24"/>
          <w:szCs w:val="24"/>
        </w:rPr>
        <w:t>The Home Learning Environment in Ireland: Insights from TIMSS 2015 in Ireland</w:t>
      </w:r>
      <w:r w:rsidRPr="00896236">
        <w:rPr>
          <w:rFonts w:cstheme="minorHAnsi"/>
          <w:sz w:val="24"/>
          <w:szCs w:val="24"/>
        </w:rPr>
        <w:t>, Dublin; Educational Research Centre</w:t>
      </w:r>
    </w:p>
    <w:p w14:paraId="1C6E257A" w14:textId="77777777" w:rsidR="00C01181" w:rsidRPr="00896236" w:rsidRDefault="00C01181" w:rsidP="00896236">
      <w:pPr>
        <w:spacing w:after="200" w:line="360" w:lineRule="auto"/>
        <w:rPr>
          <w:rFonts w:cstheme="minorHAnsi"/>
          <w:sz w:val="24"/>
          <w:szCs w:val="24"/>
        </w:rPr>
      </w:pPr>
      <w:bookmarkStart w:id="5" w:name="_Hlk61521204"/>
      <w:r w:rsidRPr="00896236">
        <w:rPr>
          <w:rFonts w:cstheme="minorHAnsi"/>
          <w:sz w:val="24"/>
          <w:szCs w:val="24"/>
        </w:rPr>
        <w:t xml:space="preserve">Collins, T., Crowley, U. &amp; Quinlan, K. (2020), </w:t>
      </w:r>
      <w:r w:rsidRPr="00896236">
        <w:rPr>
          <w:rFonts w:cstheme="minorHAnsi"/>
          <w:i/>
          <w:iCs/>
          <w:sz w:val="24"/>
          <w:szCs w:val="24"/>
        </w:rPr>
        <w:t>Review of Lecturing in Institutes of Technology / Technological Universities: International review module</w:t>
      </w:r>
      <w:r w:rsidRPr="00896236">
        <w:rPr>
          <w:rFonts w:cstheme="minorHAnsi"/>
          <w:sz w:val="24"/>
          <w:szCs w:val="24"/>
        </w:rPr>
        <w:t xml:space="preserve">, Dublin: Department of Education and Skills </w:t>
      </w:r>
    </w:p>
    <w:bookmarkEnd w:id="5"/>
    <w:p w14:paraId="0F0E42A1" w14:textId="77777777" w:rsidR="00DF3151" w:rsidRPr="00896236" w:rsidRDefault="00DF3151" w:rsidP="00896236">
      <w:pPr>
        <w:spacing w:after="200" w:line="360" w:lineRule="auto"/>
        <w:jc w:val="both"/>
        <w:rPr>
          <w:rFonts w:cstheme="minorHAnsi"/>
          <w:sz w:val="24"/>
          <w:szCs w:val="24"/>
        </w:rPr>
      </w:pPr>
      <w:proofErr w:type="spellStart"/>
      <w:r w:rsidRPr="00896236">
        <w:rPr>
          <w:rFonts w:cstheme="minorHAnsi"/>
          <w:sz w:val="24"/>
          <w:szCs w:val="24"/>
        </w:rPr>
        <w:t>Comhairle</w:t>
      </w:r>
      <w:proofErr w:type="spellEnd"/>
      <w:r w:rsidRPr="00896236">
        <w:rPr>
          <w:rFonts w:cstheme="minorHAnsi"/>
          <w:sz w:val="24"/>
          <w:szCs w:val="24"/>
        </w:rPr>
        <w:t xml:space="preserve"> </w:t>
      </w:r>
      <w:proofErr w:type="spellStart"/>
      <w:r w:rsidRPr="00896236">
        <w:rPr>
          <w:rFonts w:cstheme="minorHAnsi"/>
          <w:sz w:val="24"/>
          <w:szCs w:val="24"/>
        </w:rPr>
        <w:t>na</w:t>
      </w:r>
      <w:proofErr w:type="spellEnd"/>
      <w:r w:rsidRPr="00896236">
        <w:rPr>
          <w:rFonts w:cstheme="minorHAnsi"/>
          <w:sz w:val="24"/>
          <w:szCs w:val="24"/>
        </w:rPr>
        <w:t xml:space="preserve"> </w:t>
      </w:r>
      <w:proofErr w:type="spellStart"/>
      <w:r w:rsidRPr="00896236">
        <w:rPr>
          <w:rFonts w:cstheme="minorHAnsi"/>
          <w:sz w:val="24"/>
          <w:szCs w:val="24"/>
        </w:rPr>
        <w:t>nOg</w:t>
      </w:r>
      <w:proofErr w:type="spellEnd"/>
      <w:r w:rsidRPr="00896236">
        <w:rPr>
          <w:rFonts w:cstheme="minorHAnsi"/>
          <w:sz w:val="24"/>
          <w:szCs w:val="24"/>
        </w:rPr>
        <w:t xml:space="preserve"> (2017), </w:t>
      </w:r>
      <w:r w:rsidRPr="00896236">
        <w:rPr>
          <w:rFonts w:cstheme="minorHAnsi"/>
          <w:i/>
          <w:sz w:val="24"/>
          <w:szCs w:val="24"/>
        </w:rPr>
        <w:t>So, How Was School Today?</w:t>
      </w:r>
      <w:r w:rsidRPr="00896236">
        <w:rPr>
          <w:rFonts w:cstheme="minorHAnsi"/>
          <w:sz w:val="24"/>
          <w:szCs w:val="24"/>
        </w:rPr>
        <w:t xml:space="preserve"> Dublin: Department of Children and Youth Affairs </w:t>
      </w:r>
    </w:p>
    <w:p w14:paraId="311EC679" w14:textId="77777777" w:rsidR="00DF3151" w:rsidRPr="00896236" w:rsidRDefault="00DF3151" w:rsidP="00896236">
      <w:pPr>
        <w:spacing w:line="360" w:lineRule="auto"/>
        <w:jc w:val="both"/>
        <w:rPr>
          <w:rFonts w:eastAsia="Calibri" w:cstheme="minorHAnsi"/>
          <w:sz w:val="24"/>
          <w:szCs w:val="24"/>
          <w:lang w:val="en-US"/>
        </w:rPr>
      </w:pPr>
      <w:proofErr w:type="spellStart"/>
      <w:r w:rsidRPr="00896236">
        <w:rPr>
          <w:rFonts w:eastAsia="Calibri" w:cstheme="minorHAnsi"/>
          <w:sz w:val="24"/>
          <w:szCs w:val="24"/>
          <w:lang w:val="en-US"/>
        </w:rPr>
        <w:t>Coolahan</w:t>
      </w:r>
      <w:proofErr w:type="spellEnd"/>
      <w:r w:rsidRPr="00896236">
        <w:rPr>
          <w:rFonts w:eastAsia="Calibri" w:cstheme="minorHAnsi"/>
          <w:sz w:val="24"/>
          <w:szCs w:val="24"/>
          <w:lang w:val="en-US"/>
        </w:rPr>
        <w:t xml:space="preserve">, J. (2017), “I am Never Happier than When I am with Teachers and School Leaders”, </w:t>
      </w:r>
      <w:r w:rsidRPr="00896236">
        <w:rPr>
          <w:rFonts w:eastAsia="Calibri" w:cstheme="minorHAnsi"/>
          <w:i/>
          <w:sz w:val="24"/>
          <w:szCs w:val="24"/>
          <w:lang w:val="en-US"/>
        </w:rPr>
        <w:t xml:space="preserve">Pushing Boundaries, Expanding Vistas: Celebrating the work of John </w:t>
      </w:r>
      <w:proofErr w:type="spellStart"/>
      <w:r w:rsidRPr="00896236">
        <w:rPr>
          <w:rFonts w:eastAsia="Calibri" w:cstheme="minorHAnsi"/>
          <w:i/>
          <w:sz w:val="24"/>
          <w:szCs w:val="24"/>
          <w:lang w:val="en-US"/>
        </w:rPr>
        <w:t>Coolahan</w:t>
      </w:r>
      <w:proofErr w:type="spellEnd"/>
      <w:r w:rsidRPr="00896236">
        <w:rPr>
          <w:rFonts w:eastAsia="Calibri" w:cstheme="minorHAnsi"/>
          <w:sz w:val="24"/>
          <w:szCs w:val="24"/>
          <w:lang w:val="en-US"/>
        </w:rPr>
        <w:t>, Walsh, T., Dolan, R. eds. (2019), Maynooth: Maynooth University Department of Education</w:t>
      </w:r>
    </w:p>
    <w:p w14:paraId="04B0DB57" w14:textId="77777777" w:rsidR="00DF3151" w:rsidRPr="00896236" w:rsidRDefault="00DF3151" w:rsidP="00896236">
      <w:pPr>
        <w:spacing w:line="360" w:lineRule="auto"/>
        <w:jc w:val="both"/>
        <w:rPr>
          <w:rFonts w:cstheme="minorHAnsi"/>
          <w:sz w:val="24"/>
          <w:szCs w:val="24"/>
        </w:rPr>
      </w:pPr>
      <w:r w:rsidRPr="00896236">
        <w:rPr>
          <w:rFonts w:cstheme="minorHAnsi"/>
          <w:sz w:val="24"/>
          <w:szCs w:val="24"/>
        </w:rPr>
        <w:t xml:space="preserve">CSO (2009), </w:t>
      </w:r>
      <w:r w:rsidRPr="00896236">
        <w:rPr>
          <w:rFonts w:cstheme="minorHAnsi"/>
          <w:i/>
          <w:sz w:val="24"/>
          <w:szCs w:val="24"/>
        </w:rPr>
        <w:t>Children and Young People in Ireland 2008</w:t>
      </w:r>
      <w:r w:rsidRPr="00896236">
        <w:rPr>
          <w:rFonts w:cstheme="minorHAnsi"/>
          <w:sz w:val="24"/>
          <w:szCs w:val="24"/>
        </w:rPr>
        <w:t xml:space="preserve">, Cork: Central Statistics Office </w:t>
      </w:r>
    </w:p>
    <w:p w14:paraId="0FDB41BF" w14:textId="77777777" w:rsidR="00DF3151" w:rsidRPr="00896236" w:rsidRDefault="00DF3151" w:rsidP="00896236">
      <w:pPr>
        <w:spacing w:line="360" w:lineRule="auto"/>
        <w:jc w:val="both"/>
        <w:rPr>
          <w:rFonts w:cstheme="minorHAnsi"/>
          <w:sz w:val="24"/>
          <w:szCs w:val="24"/>
        </w:rPr>
      </w:pPr>
      <w:r w:rsidRPr="00896236">
        <w:rPr>
          <w:rFonts w:cstheme="minorHAnsi"/>
          <w:sz w:val="24"/>
          <w:szCs w:val="24"/>
        </w:rPr>
        <w:t xml:space="preserve">CSO (2017), </w:t>
      </w:r>
      <w:r w:rsidRPr="00896236">
        <w:rPr>
          <w:rFonts w:cstheme="minorHAnsi"/>
          <w:i/>
          <w:sz w:val="24"/>
          <w:szCs w:val="24"/>
        </w:rPr>
        <w:t>Vital Statistics Yearly Summary 2016</w:t>
      </w:r>
      <w:r w:rsidRPr="00896236">
        <w:rPr>
          <w:rFonts w:cstheme="minorHAnsi"/>
          <w:sz w:val="24"/>
          <w:szCs w:val="24"/>
        </w:rPr>
        <w:t>, Cork: Central Statistics Office</w:t>
      </w:r>
    </w:p>
    <w:p w14:paraId="124BB9E1" w14:textId="7E493ADA" w:rsidR="0003484C" w:rsidRPr="00896236" w:rsidRDefault="0003484C" w:rsidP="00896236">
      <w:pPr>
        <w:pStyle w:val="Default"/>
        <w:spacing w:line="360" w:lineRule="auto"/>
        <w:rPr>
          <w:rFonts w:asciiTheme="minorHAnsi" w:hAnsiTheme="minorHAnsi" w:cstheme="minorHAnsi"/>
          <w:color w:val="auto"/>
        </w:rPr>
      </w:pPr>
      <w:r w:rsidRPr="00896236">
        <w:rPr>
          <w:rFonts w:asciiTheme="minorHAnsi" w:hAnsiTheme="minorHAnsi" w:cstheme="minorHAnsi"/>
          <w:color w:val="auto"/>
        </w:rPr>
        <w:t xml:space="preserve">CSO (2018), </w:t>
      </w:r>
      <w:r w:rsidRPr="00896236">
        <w:rPr>
          <w:rFonts w:asciiTheme="minorHAnsi" w:hAnsiTheme="minorHAnsi" w:cstheme="minorHAnsi"/>
          <w:i/>
          <w:color w:val="auto"/>
        </w:rPr>
        <w:t>Higher Education Outcomes: Graduation years 2010-2014</w:t>
      </w:r>
      <w:r w:rsidRPr="00896236">
        <w:rPr>
          <w:rFonts w:asciiTheme="minorHAnsi" w:hAnsiTheme="minorHAnsi" w:cstheme="minorHAnsi"/>
          <w:color w:val="auto"/>
        </w:rPr>
        <w:t>, Cork: Central Statistics Office / Higher Education Authority</w:t>
      </w:r>
    </w:p>
    <w:p w14:paraId="6975E525" w14:textId="77777777" w:rsidR="00DF3151" w:rsidRPr="00896236" w:rsidRDefault="00DF3151" w:rsidP="00896236">
      <w:pPr>
        <w:spacing w:line="360" w:lineRule="auto"/>
        <w:jc w:val="both"/>
        <w:rPr>
          <w:rFonts w:cstheme="minorHAnsi"/>
          <w:sz w:val="24"/>
          <w:szCs w:val="24"/>
        </w:rPr>
      </w:pPr>
      <w:r w:rsidRPr="00896236">
        <w:rPr>
          <w:rFonts w:eastAsia="Calibri" w:cstheme="minorHAnsi"/>
          <w:sz w:val="24"/>
          <w:szCs w:val="24"/>
          <w:lang w:val="en-US"/>
        </w:rPr>
        <w:t xml:space="preserve">CSO (2019), </w:t>
      </w:r>
      <w:r w:rsidRPr="00896236">
        <w:rPr>
          <w:rFonts w:eastAsia="Calibri" w:cstheme="minorHAnsi"/>
          <w:i/>
          <w:sz w:val="24"/>
          <w:szCs w:val="24"/>
          <w:lang w:val="en-US"/>
        </w:rPr>
        <w:t>Educational Attainment Thematic Report 2019</w:t>
      </w:r>
      <w:r w:rsidRPr="00896236">
        <w:rPr>
          <w:rFonts w:eastAsia="Calibri" w:cstheme="minorHAnsi"/>
          <w:sz w:val="24"/>
          <w:szCs w:val="24"/>
          <w:lang w:val="en-US"/>
        </w:rPr>
        <w:t>, Cork: Central Statistics Office</w:t>
      </w:r>
    </w:p>
    <w:p w14:paraId="6311E407" w14:textId="44846CD1" w:rsidR="00237348" w:rsidRPr="00896236" w:rsidRDefault="00237348" w:rsidP="00896236">
      <w:pPr>
        <w:spacing w:line="360" w:lineRule="auto"/>
        <w:jc w:val="both"/>
        <w:rPr>
          <w:rFonts w:cstheme="minorHAnsi"/>
          <w:sz w:val="24"/>
          <w:szCs w:val="24"/>
        </w:rPr>
      </w:pPr>
      <w:r w:rsidRPr="00896236">
        <w:rPr>
          <w:rFonts w:eastAsia="Calibri" w:cstheme="minorHAnsi"/>
          <w:sz w:val="24"/>
          <w:szCs w:val="24"/>
          <w:lang w:val="en-US"/>
        </w:rPr>
        <w:t xml:space="preserve">CSO (2020), </w:t>
      </w:r>
      <w:r w:rsidRPr="00896236">
        <w:rPr>
          <w:rFonts w:eastAsia="Calibri" w:cstheme="minorHAnsi"/>
          <w:i/>
          <w:sz w:val="24"/>
          <w:szCs w:val="24"/>
          <w:lang w:val="en-US"/>
        </w:rPr>
        <w:t>Measuring Ireland’s Progress 2018</w:t>
      </w:r>
      <w:r w:rsidRPr="00896236">
        <w:rPr>
          <w:rFonts w:eastAsia="Calibri" w:cstheme="minorHAnsi"/>
          <w:sz w:val="24"/>
          <w:szCs w:val="24"/>
          <w:lang w:val="en-US"/>
        </w:rPr>
        <w:t>, Cork: Central Statistics Office</w:t>
      </w:r>
    </w:p>
    <w:p w14:paraId="4065C612" w14:textId="77777777" w:rsidR="000737B9" w:rsidRPr="00896236" w:rsidRDefault="000737B9" w:rsidP="00896236">
      <w:pPr>
        <w:spacing w:line="360" w:lineRule="auto"/>
        <w:jc w:val="both"/>
        <w:rPr>
          <w:rFonts w:cstheme="minorHAnsi"/>
          <w:sz w:val="24"/>
          <w:szCs w:val="24"/>
        </w:rPr>
      </w:pPr>
      <w:bookmarkStart w:id="6" w:name="_Hlk47014833"/>
      <w:r w:rsidRPr="00896236">
        <w:rPr>
          <w:rFonts w:cstheme="minorHAnsi"/>
          <w:sz w:val="24"/>
          <w:szCs w:val="24"/>
        </w:rPr>
        <w:t xml:space="preserve">DCYA (2020), </w:t>
      </w:r>
      <w:r w:rsidRPr="00896236">
        <w:rPr>
          <w:rFonts w:cstheme="minorHAnsi"/>
          <w:i/>
          <w:iCs/>
          <w:sz w:val="24"/>
          <w:szCs w:val="24"/>
        </w:rPr>
        <w:t>Income, Poverty and Deprivation Among Children: A statistical baseline analysis</w:t>
      </w:r>
      <w:r w:rsidRPr="00896236">
        <w:rPr>
          <w:rFonts w:cstheme="minorHAnsi"/>
          <w:sz w:val="24"/>
          <w:szCs w:val="24"/>
        </w:rPr>
        <w:t>, Dublin: Department of Children and Youth Affairs</w:t>
      </w:r>
    </w:p>
    <w:bookmarkEnd w:id="6"/>
    <w:p w14:paraId="5F563F22" w14:textId="77777777" w:rsidR="00DF3151" w:rsidRPr="00896236" w:rsidRDefault="00DF3151" w:rsidP="00896236">
      <w:pPr>
        <w:spacing w:line="360" w:lineRule="auto"/>
        <w:jc w:val="both"/>
        <w:rPr>
          <w:rFonts w:cstheme="minorHAnsi"/>
          <w:sz w:val="24"/>
          <w:szCs w:val="24"/>
        </w:rPr>
      </w:pPr>
      <w:r w:rsidRPr="00896236">
        <w:rPr>
          <w:rFonts w:cstheme="minorHAnsi"/>
          <w:sz w:val="24"/>
          <w:szCs w:val="24"/>
        </w:rPr>
        <w:lastRenderedPageBreak/>
        <w:t xml:space="preserve">DES (2018a), </w:t>
      </w:r>
      <w:r w:rsidRPr="00896236">
        <w:rPr>
          <w:rFonts w:cstheme="minorHAnsi"/>
          <w:i/>
          <w:sz w:val="24"/>
          <w:szCs w:val="24"/>
        </w:rPr>
        <w:t>Chief Inspector’s Report 2013-2016</w:t>
      </w:r>
      <w:r w:rsidRPr="00896236">
        <w:rPr>
          <w:rFonts w:cstheme="minorHAnsi"/>
          <w:sz w:val="24"/>
          <w:szCs w:val="24"/>
        </w:rPr>
        <w:t xml:space="preserve">, Dublin: Department of Education and Skills Inspectorate </w:t>
      </w:r>
    </w:p>
    <w:p w14:paraId="0AC0F3EA" w14:textId="77777777" w:rsidR="00DF3151" w:rsidRPr="00896236" w:rsidRDefault="00DF3151" w:rsidP="00896236">
      <w:pPr>
        <w:spacing w:line="360" w:lineRule="auto"/>
        <w:jc w:val="both"/>
        <w:rPr>
          <w:rFonts w:cstheme="minorHAnsi"/>
          <w:sz w:val="24"/>
          <w:szCs w:val="24"/>
        </w:rPr>
      </w:pPr>
      <w:r w:rsidRPr="00896236">
        <w:rPr>
          <w:rFonts w:cstheme="minorHAnsi"/>
          <w:sz w:val="24"/>
          <w:szCs w:val="24"/>
        </w:rPr>
        <w:t xml:space="preserve">DES (2018b), </w:t>
      </w:r>
      <w:r w:rsidRPr="00896236">
        <w:rPr>
          <w:rFonts w:cstheme="minorHAnsi"/>
          <w:i/>
          <w:sz w:val="24"/>
          <w:szCs w:val="24"/>
        </w:rPr>
        <w:t xml:space="preserve">Opening Statement to the Joint Oireachtas Committee on Education and Skills, </w:t>
      </w:r>
      <w:r w:rsidRPr="00896236">
        <w:rPr>
          <w:rFonts w:cstheme="minorHAnsi"/>
          <w:sz w:val="24"/>
          <w:szCs w:val="24"/>
        </w:rPr>
        <w:t>August 29</w:t>
      </w:r>
      <w:r w:rsidRPr="00896236">
        <w:rPr>
          <w:rFonts w:cstheme="minorHAnsi"/>
          <w:sz w:val="24"/>
          <w:szCs w:val="24"/>
          <w:vertAlign w:val="superscript"/>
        </w:rPr>
        <w:t>th</w:t>
      </w:r>
      <w:r w:rsidRPr="00896236">
        <w:rPr>
          <w:rFonts w:cstheme="minorHAnsi"/>
          <w:sz w:val="24"/>
          <w:szCs w:val="24"/>
        </w:rPr>
        <w:t xml:space="preserve">, 2018 </w:t>
      </w:r>
    </w:p>
    <w:p w14:paraId="275A1573" w14:textId="77777777" w:rsidR="00DF3151" w:rsidRPr="00896236" w:rsidRDefault="00DF3151" w:rsidP="00896236">
      <w:pPr>
        <w:spacing w:line="360" w:lineRule="auto"/>
        <w:jc w:val="both"/>
        <w:rPr>
          <w:rFonts w:cstheme="minorHAnsi"/>
          <w:sz w:val="24"/>
          <w:szCs w:val="24"/>
        </w:rPr>
      </w:pPr>
      <w:r w:rsidRPr="00896236">
        <w:rPr>
          <w:rFonts w:cstheme="minorHAnsi"/>
          <w:sz w:val="24"/>
          <w:szCs w:val="24"/>
        </w:rPr>
        <w:t xml:space="preserve">DES (2018c), </w:t>
      </w:r>
      <w:r w:rsidRPr="00896236">
        <w:rPr>
          <w:rFonts w:cstheme="minorHAnsi"/>
          <w:i/>
          <w:sz w:val="24"/>
          <w:szCs w:val="24"/>
        </w:rPr>
        <w:t xml:space="preserve">Minister’s Brief: Overview, </w:t>
      </w:r>
      <w:r w:rsidRPr="00896236">
        <w:rPr>
          <w:rFonts w:cstheme="minorHAnsi"/>
          <w:sz w:val="24"/>
          <w:szCs w:val="24"/>
        </w:rPr>
        <w:t xml:space="preserve">Dublin: Department of Education and Skills </w:t>
      </w:r>
    </w:p>
    <w:p w14:paraId="3416C7B9" w14:textId="2F1E8BE7" w:rsidR="00A02D26" w:rsidRPr="00896236" w:rsidRDefault="00A02D26" w:rsidP="00896236">
      <w:pPr>
        <w:autoSpaceDE w:val="0"/>
        <w:autoSpaceDN w:val="0"/>
        <w:adjustRightInd w:val="0"/>
        <w:spacing w:after="0" w:line="360" w:lineRule="auto"/>
        <w:jc w:val="both"/>
        <w:rPr>
          <w:rFonts w:cstheme="minorHAnsi"/>
          <w:sz w:val="24"/>
          <w:szCs w:val="24"/>
        </w:rPr>
      </w:pPr>
      <w:bookmarkStart w:id="7" w:name="_Hlk71641055"/>
      <w:r w:rsidRPr="00896236">
        <w:rPr>
          <w:rFonts w:cstheme="minorHAnsi"/>
          <w:sz w:val="24"/>
          <w:szCs w:val="24"/>
        </w:rPr>
        <w:t xml:space="preserve">DES (2018d), </w:t>
      </w:r>
      <w:r w:rsidRPr="00896236">
        <w:rPr>
          <w:rFonts w:cstheme="minorHAnsi"/>
          <w:i/>
          <w:sz w:val="24"/>
          <w:szCs w:val="24"/>
        </w:rPr>
        <w:t>Projections of Demand for Full-Time Third Level Education 2018 to 2040</w:t>
      </w:r>
      <w:r w:rsidRPr="00896236">
        <w:rPr>
          <w:rFonts w:cstheme="minorHAnsi"/>
          <w:sz w:val="24"/>
          <w:szCs w:val="24"/>
        </w:rPr>
        <w:t>, Dublin: Department of Education and Skills</w:t>
      </w:r>
    </w:p>
    <w:bookmarkEnd w:id="7"/>
    <w:p w14:paraId="2F168EB6" w14:textId="77777777" w:rsidR="007E2CA8" w:rsidRPr="00896236" w:rsidRDefault="007E2CA8" w:rsidP="00896236">
      <w:pPr>
        <w:autoSpaceDE w:val="0"/>
        <w:autoSpaceDN w:val="0"/>
        <w:adjustRightInd w:val="0"/>
        <w:spacing w:after="0" w:line="360" w:lineRule="auto"/>
        <w:jc w:val="both"/>
        <w:rPr>
          <w:rFonts w:cstheme="minorHAnsi"/>
          <w:bCs/>
          <w:sz w:val="24"/>
          <w:szCs w:val="24"/>
        </w:rPr>
      </w:pPr>
      <w:r w:rsidRPr="00896236">
        <w:rPr>
          <w:rFonts w:cstheme="minorHAnsi"/>
          <w:bCs/>
          <w:sz w:val="24"/>
          <w:szCs w:val="24"/>
        </w:rPr>
        <w:t xml:space="preserve">DES (2019), </w:t>
      </w:r>
      <w:r w:rsidRPr="00896236">
        <w:rPr>
          <w:rFonts w:cstheme="minorHAnsi"/>
          <w:bCs/>
          <w:i/>
          <w:sz w:val="24"/>
          <w:szCs w:val="24"/>
        </w:rPr>
        <w:t>Education Indicators for Ireland October 2019</w:t>
      </w:r>
      <w:r w:rsidRPr="00896236">
        <w:rPr>
          <w:rFonts w:cstheme="minorHAnsi"/>
          <w:bCs/>
          <w:sz w:val="24"/>
          <w:szCs w:val="24"/>
        </w:rPr>
        <w:t>, Dublin: Department of Education and Skills</w:t>
      </w:r>
    </w:p>
    <w:p w14:paraId="45F5B485" w14:textId="77777777" w:rsidR="00DF3151" w:rsidRPr="00896236" w:rsidRDefault="00DF3151" w:rsidP="00896236">
      <w:pPr>
        <w:spacing w:line="360" w:lineRule="auto"/>
        <w:jc w:val="both"/>
        <w:rPr>
          <w:rFonts w:cstheme="minorHAnsi"/>
          <w:sz w:val="24"/>
          <w:szCs w:val="24"/>
        </w:rPr>
      </w:pPr>
      <w:proofErr w:type="spellStart"/>
      <w:r w:rsidRPr="00896236">
        <w:rPr>
          <w:rFonts w:cstheme="minorHAnsi"/>
          <w:sz w:val="24"/>
          <w:szCs w:val="24"/>
        </w:rPr>
        <w:t>Eivers</w:t>
      </w:r>
      <w:proofErr w:type="spellEnd"/>
      <w:r w:rsidRPr="00896236">
        <w:rPr>
          <w:rFonts w:cstheme="minorHAnsi"/>
          <w:sz w:val="24"/>
          <w:szCs w:val="24"/>
        </w:rPr>
        <w:t>, E. (2019), Left to their Own Devices: Trends in ICT at primary school level, Cork: Irish Primary Principals Network</w:t>
      </w:r>
    </w:p>
    <w:p w14:paraId="788A1F7C" w14:textId="77777777" w:rsidR="007E2CA8" w:rsidRPr="00896236" w:rsidRDefault="007E2CA8" w:rsidP="00896236">
      <w:pPr>
        <w:spacing w:line="360" w:lineRule="auto"/>
        <w:jc w:val="both"/>
        <w:rPr>
          <w:rFonts w:cstheme="minorHAnsi"/>
          <w:sz w:val="24"/>
          <w:szCs w:val="24"/>
        </w:rPr>
      </w:pPr>
      <w:bookmarkStart w:id="8" w:name="_Hlk47014931"/>
      <w:r w:rsidRPr="00896236">
        <w:rPr>
          <w:rFonts w:cstheme="minorHAnsi"/>
          <w:sz w:val="24"/>
          <w:szCs w:val="24"/>
        </w:rPr>
        <w:t xml:space="preserve">Erskine, S. &amp; Harmon, D. (2020), </w:t>
      </w:r>
      <w:proofErr w:type="spellStart"/>
      <w:r w:rsidRPr="00896236">
        <w:rPr>
          <w:rFonts w:cstheme="minorHAnsi"/>
          <w:i/>
          <w:sz w:val="24"/>
          <w:szCs w:val="24"/>
        </w:rPr>
        <w:t>Eurostudent</w:t>
      </w:r>
      <w:proofErr w:type="spellEnd"/>
      <w:r w:rsidRPr="00896236">
        <w:rPr>
          <w:rFonts w:cstheme="minorHAnsi"/>
          <w:i/>
          <w:sz w:val="24"/>
          <w:szCs w:val="24"/>
        </w:rPr>
        <w:t xml:space="preserve"> Survey VII: Report on the social and living conditions of higher education students in Ireland 2019</w:t>
      </w:r>
      <w:r w:rsidRPr="00896236">
        <w:rPr>
          <w:rFonts w:cstheme="minorHAnsi"/>
          <w:sz w:val="24"/>
          <w:szCs w:val="24"/>
        </w:rPr>
        <w:t xml:space="preserve">, Dublin: Higher Education Authority </w:t>
      </w:r>
    </w:p>
    <w:p w14:paraId="3A867716" w14:textId="1631334F" w:rsidR="000737B9" w:rsidRPr="00896236" w:rsidRDefault="000737B9" w:rsidP="00896236">
      <w:pPr>
        <w:spacing w:line="360" w:lineRule="auto"/>
        <w:jc w:val="both"/>
        <w:rPr>
          <w:rFonts w:cstheme="minorHAnsi"/>
          <w:sz w:val="24"/>
          <w:szCs w:val="24"/>
        </w:rPr>
      </w:pPr>
      <w:r w:rsidRPr="00896236">
        <w:rPr>
          <w:rFonts w:cstheme="minorHAnsi"/>
          <w:sz w:val="24"/>
          <w:szCs w:val="24"/>
        </w:rPr>
        <w:t xml:space="preserve">ESRI (2020), </w:t>
      </w:r>
      <w:r w:rsidRPr="00896236">
        <w:rPr>
          <w:rFonts w:cstheme="minorHAnsi"/>
          <w:i/>
          <w:sz w:val="24"/>
          <w:szCs w:val="24"/>
        </w:rPr>
        <w:t xml:space="preserve">Growing Up in Ireland The Lives of 17/18 Year Olds, </w:t>
      </w:r>
      <w:r w:rsidRPr="00896236">
        <w:rPr>
          <w:rFonts w:cstheme="minorHAnsi"/>
          <w:sz w:val="24"/>
          <w:szCs w:val="24"/>
        </w:rPr>
        <w:t>Dublin: Economic and Social Research Institute</w:t>
      </w:r>
    </w:p>
    <w:bookmarkEnd w:id="8"/>
    <w:p w14:paraId="547005A8" w14:textId="77777777" w:rsidR="00DF3151" w:rsidRPr="00896236" w:rsidRDefault="00DF3151" w:rsidP="00896236">
      <w:pPr>
        <w:autoSpaceDE w:val="0"/>
        <w:autoSpaceDN w:val="0"/>
        <w:adjustRightInd w:val="0"/>
        <w:spacing w:after="0" w:line="360" w:lineRule="auto"/>
        <w:jc w:val="both"/>
        <w:rPr>
          <w:rFonts w:eastAsia="BrandonGrotesque-Regular" w:cstheme="minorHAnsi"/>
          <w:sz w:val="24"/>
          <w:szCs w:val="24"/>
        </w:rPr>
      </w:pPr>
      <w:r w:rsidRPr="00896236">
        <w:rPr>
          <w:rFonts w:eastAsia="BrandonGrotesque-Regular" w:cstheme="minorHAnsi"/>
          <w:sz w:val="24"/>
          <w:szCs w:val="24"/>
        </w:rPr>
        <w:t xml:space="preserve">EU Commission (2018), </w:t>
      </w:r>
      <w:r w:rsidRPr="00896236">
        <w:rPr>
          <w:rFonts w:eastAsia="BrandonGrotesque-Regular" w:cstheme="minorHAnsi"/>
          <w:i/>
          <w:sz w:val="24"/>
          <w:szCs w:val="24"/>
        </w:rPr>
        <w:t>Labour Market Policy Thematic Review 2018</w:t>
      </w:r>
      <w:r w:rsidRPr="00896236">
        <w:rPr>
          <w:rFonts w:eastAsia="BrandonGrotesque-Regular" w:cstheme="minorHAnsi"/>
          <w:sz w:val="24"/>
          <w:szCs w:val="24"/>
        </w:rPr>
        <w:t>, Luxembourg: Publications Office of the European Union</w:t>
      </w:r>
    </w:p>
    <w:p w14:paraId="6895F371" w14:textId="77777777" w:rsidR="00DF3151" w:rsidRPr="00896236" w:rsidRDefault="00DF3151" w:rsidP="00896236">
      <w:pPr>
        <w:spacing w:line="360" w:lineRule="auto"/>
        <w:jc w:val="both"/>
        <w:rPr>
          <w:rFonts w:cstheme="minorHAnsi"/>
          <w:sz w:val="24"/>
          <w:szCs w:val="24"/>
        </w:rPr>
      </w:pPr>
      <w:r w:rsidRPr="00896236">
        <w:rPr>
          <w:rFonts w:eastAsia="BrandonGrotesque-Regular" w:cstheme="minorHAnsi"/>
          <w:sz w:val="24"/>
          <w:szCs w:val="24"/>
        </w:rPr>
        <w:t xml:space="preserve">EU Commission (2019a), </w:t>
      </w:r>
      <w:r w:rsidRPr="00896236">
        <w:rPr>
          <w:rFonts w:eastAsia="BrandonGrotesque-Regular" w:cstheme="minorHAnsi"/>
          <w:i/>
          <w:sz w:val="24"/>
          <w:szCs w:val="24"/>
        </w:rPr>
        <w:t>Country Report Ireland 2019</w:t>
      </w:r>
      <w:r w:rsidRPr="00896236">
        <w:rPr>
          <w:rFonts w:eastAsia="BrandonGrotesque-Regular" w:cstheme="minorHAnsi"/>
          <w:sz w:val="24"/>
          <w:szCs w:val="24"/>
        </w:rPr>
        <w:t>, Brussels: European Commission</w:t>
      </w:r>
      <w:r w:rsidRPr="00896236">
        <w:rPr>
          <w:rFonts w:cstheme="minorHAnsi"/>
          <w:sz w:val="24"/>
          <w:szCs w:val="24"/>
        </w:rPr>
        <w:t xml:space="preserve"> </w:t>
      </w:r>
    </w:p>
    <w:p w14:paraId="5BA92817" w14:textId="77777777" w:rsidR="00DF3151" w:rsidRPr="00896236" w:rsidRDefault="00DF3151" w:rsidP="00896236">
      <w:pPr>
        <w:spacing w:line="360" w:lineRule="auto"/>
        <w:jc w:val="both"/>
        <w:rPr>
          <w:rFonts w:cstheme="minorHAnsi"/>
          <w:sz w:val="24"/>
          <w:szCs w:val="24"/>
        </w:rPr>
      </w:pPr>
      <w:r w:rsidRPr="00896236">
        <w:rPr>
          <w:rFonts w:eastAsia="BrandonGrotesque-Regular" w:cstheme="minorHAnsi"/>
          <w:sz w:val="24"/>
          <w:szCs w:val="24"/>
        </w:rPr>
        <w:t xml:space="preserve">EU Commission (2019b), </w:t>
      </w:r>
      <w:r w:rsidRPr="00896236">
        <w:rPr>
          <w:rFonts w:eastAsia="BrandonGrotesque-Regular" w:cstheme="minorHAnsi"/>
          <w:i/>
          <w:sz w:val="24"/>
          <w:szCs w:val="24"/>
        </w:rPr>
        <w:t>Education and Training Monitor 2019</w:t>
      </w:r>
      <w:r w:rsidRPr="00896236">
        <w:rPr>
          <w:rFonts w:eastAsia="BrandonGrotesque-Regular" w:cstheme="minorHAnsi"/>
          <w:sz w:val="24"/>
          <w:szCs w:val="24"/>
        </w:rPr>
        <w:t>, Brussels: European Commission</w:t>
      </w:r>
      <w:r w:rsidRPr="00896236">
        <w:rPr>
          <w:rFonts w:cstheme="minorHAnsi"/>
          <w:sz w:val="24"/>
          <w:szCs w:val="24"/>
        </w:rPr>
        <w:t xml:space="preserve"> </w:t>
      </w:r>
    </w:p>
    <w:p w14:paraId="1040F594" w14:textId="77777777" w:rsidR="00DF3151" w:rsidRPr="00896236" w:rsidRDefault="00DF3151" w:rsidP="00896236">
      <w:pPr>
        <w:spacing w:line="360" w:lineRule="auto"/>
        <w:jc w:val="both"/>
        <w:rPr>
          <w:rFonts w:cstheme="minorHAnsi"/>
          <w:sz w:val="24"/>
          <w:szCs w:val="24"/>
        </w:rPr>
      </w:pPr>
      <w:r w:rsidRPr="00896236">
        <w:rPr>
          <w:rFonts w:cstheme="minorHAnsi"/>
          <w:sz w:val="24"/>
          <w:szCs w:val="24"/>
        </w:rPr>
        <w:t xml:space="preserve">EU Commission / EACEA / Eurydice (2018), </w:t>
      </w:r>
      <w:r w:rsidRPr="00896236">
        <w:rPr>
          <w:rFonts w:cstheme="minorHAnsi"/>
          <w:i/>
          <w:sz w:val="24"/>
          <w:szCs w:val="24"/>
        </w:rPr>
        <w:t>The European Higher Education Area in 2018: Bologna process implementation report</w:t>
      </w:r>
      <w:r w:rsidRPr="00896236">
        <w:rPr>
          <w:rFonts w:cstheme="minorHAnsi"/>
          <w:sz w:val="24"/>
          <w:szCs w:val="24"/>
        </w:rPr>
        <w:t xml:space="preserve">, Luxembourg: Publications Office of the European Union </w:t>
      </w:r>
    </w:p>
    <w:p w14:paraId="2719DC8C" w14:textId="77777777" w:rsidR="002A4917" w:rsidRPr="00896236" w:rsidRDefault="002A4917" w:rsidP="00896236">
      <w:pPr>
        <w:spacing w:line="360" w:lineRule="auto"/>
        <w:jc w:val="both"/>
        <w:rPr>
          <w:rFonts w:cstheme="minorHAnsi"/>
          <w:sz w:val="24"/>
          <w:szCs w:val="24"/>
        </w:rPr>
      </w:pPr>
      <w:proofErr w:type="spellStart"/>
      <w:r w:rsidRPr="00896236">
        <w:rPr>
          <w:rFonts w:cstheme="minorHAnsi"/>
          <w:sz w:val="24"/>
          <w:szCs w:val="24"/>
        </w:rPr>
        <w:t>Eurofound</w:t>
      </w:r>
      <w:proofErr w:type="spellEnd"/>
      <w:r w:rsidRPr="00896236">
        <w:rPr>
          <w:rFonts w:cstheme="minorHAnsi"/>
          <w:sz w:val="24"/>
          <w:szCs w:val="24"/>
        </w:rPr>
        <w:t xml:space="preserve"> (2020), </w:t>
      </w:r>
      <w:r w:rsidRPr="00896236">
        <w:rPr>
          <w:rFonts w:cstheme="minorHAnsi"/>
          <w:i/>
          <w:iCs/>
          <w:sz w:val="24"/>
          <w:szCs w:val="24"/>
        </w:rPr>
        <w:t>Living and Working in Europe</w:t>
      </w:r>
      <w:r w:rsidRPr="00896236">
        <w:rPr>
          <w:rFonts w:cstheme="minorHAnsi"/>
          <w:sz w:val="24"/>
          <w:szCs w:val="24"/>
        </w:rPr>
        <w:t>, Luxembourg: Publications Office of the European Union</w:t>
      </w:r>
    </w:p>
    <w:p w14:paraId="262EC007" w14:textId="77777777" w:rsidR="00DF3151" w:rsidRPr="00896236" w:rsidRDefault="00DF3151" w:rsidP="00896236">
      <w:pPr>
        <w:spacing w:line="360" w:lineRule="auto"/>
        <w:jc w:val="both"/>
        <w:rPr>
          <w:rFonts w:cstheme="minorHAnsi"/>
          <w:sz w:val="24"/>
          <w:szCs w:val="24"/>
        </w:rPr>
      </w:pPr>
      <w:r w:rsidRPr="00896236">
        <w:rPr>
          <w:rFonts w:cstheme="minorHAnsi"/>
          <w:sz w:val="24"/>
          <w:szCs w:val="24"/>
        </w:rPr>
        <w:t xml:space="preserve">Eurostat (2015), </w:t>
      </w:r>
      <w:r w:rsidRPr="00896236">
        <w:rPr>
          <w:rFonts w:cstheme="minorHAnsi"/>
          <w:i/>
          <w:sz w:val="24"/>
          <w:szCs w:val="24"/>
        </w:rPr>
        <w:t>Being Young in Europe Today</w:t>
      </w:r>
      <w:r w:rsidRPr="00896236">
        <w:rPr>
          <w:rFonts w:cstheme="minorHAnsi"/>
          <w:sz w:val="24"/>
          <w:szCs w:val="24"/>
        </w:rPr>
        <w:t>, Luxembourg: Publications Office of the European Union</w:t>
      </w:r>
    </w:p>
    <w:p w14:paraId="6A8985DC" w14:textId="77777777" w:rsidR="00DF3151" w:rsidRPr="00896236" w:rsidRDefault="00DF3151" w:rsidP="00896236">
      <w:pPr>
        <w:spacing w:line="360" w:lineRule="auto"/>
        <w:jc w:val="both"/>
        <w:rPr>
          <w:rFonts w:cstheme="minorHAnsi"/>
          <w:sz w:val="24"/>
          <w:szCs w:val="24"/>
        </w:rPr>
      </w:pPr>
      <w:r w:rsidRPr="00896236">
        <w:rPr>
          <w:rFonts w:cstheme="minorHAnsi"/>
          <w:sz w:val="24"/>
          <w:szCs w:val="24"/>
        </w:rPr>
        <w:t xml:space="preserve">Eurostat (2017), </w:t>
      </w:r>
      <w:r w:rsidRPr="00896236">
        <w:rPr>
          <w:rFonts w:cstheme="minorHAnsi"/>
          <w:i/>
          <w:sz w:val="24"/>
          <w:szCs w:val="24"/>
        </w:rPr>
        <w:t>Fertility Statistics</w:t>
      </w:r>
      <w:r w:rsidRPr="00896236">
        <w:rPr>
          <w:rFonts w:cstheme="minorHAnsi"/>
          <w:sz w:val="24"/>
          <w:szCs w:val="24"/>
        </w:rPr>
        <w:t>, Luxembourg: Publications Office of the European Union</w:t>
      </w:r>
    </w:p>
    <w:p w14:paraId="18401384" w14:textId="4AA6C4F5" w:rsidR="0021436E" w:rsidRPr="00896236" w:rsidRDefault="0021436E" w:rsidP="00896236">
      <w:pPr>
        <w:pStyle w:val="Default"/>
        <w:spacing w:line="360" w:lineRule="auto"/>
        <w:jc w:val="both"/>
        <w:rPr>
          <w:rFonts w:asciiTheme="minorHAnsi" w:hAnsiTheme="minorHAnsi" w:cstheme="minorHAnsi"/>
          <w:color w:val="auto"/>
        </w:rPr>
      </w:pPr>
      <w:r w:rsidRPr="00896236">
        <w:rPr>
          <w:rFonts w:asciiTheme="minorHAnsi" w:hAnsiTheme="minorHAnsi" w:cstheme="minorHAnsi"/>
          <w:color w:val="auto"/>
        </w:rPr>
        <w:lastRenderedPageBreak/>
        <w:t xml:space="preserve">Government of Ireland (2019), </w:t>
      </w:r>
      <w:r w:rsidRPr="00896236">
        <w:rPr>
          <w:rFonts w:asciiTheme="minorHAnsi" w:hAnsiTheme="minorHAnsi" w:cstheme="minorHAnsi"/>
          <w:i/>
          <w:color w:val="auto"/>
        </w:rPr>
        <w:t>Health in Ireland: Key trends 2019</w:t>
      </w:r>
      <w:r w:rsidRPr="00896236">
        <w:rPr>
          <w:rFonts w:asciiTheme="minorHAnsi" w:hAnsiTheme="minorHAnsi" w:cstheme="minorHAnsi"/>
          <w:color w:val="auto"/>
        </w:rPr>
        <w:t>, Dublin: Department of Health</w:t>
      </w:r>
    </w:p>
    <w:p w14:paraId="50398856" w14:textId="77777777" w:rsidR="00DF3151" w:rsidRPr="00896236" w:rsidRDefault="00DF3151" w:rsidP="00896236">
      <w:pPr>
        <w:spacing w:line="360" w:lineRule="auto"/>
        <w:jc w:val="both"/>
        <w:rPr>
          <w:rFonts w:cstheme="minorHAnsi"/>
          <w:sz w:val="24"/>
          <w:szCs w:val="24"/>
        </w:rPr>
      </w:pPr>
      <w:r w:rsidRPr="00896236">
        <w:rPr>
          <w:rFonts w:cstheme="minorHAnsi"/>
          <w:sz w:val="24"/>
          <w:szCs w:val="24"/>
        </w:rPr>
        <w:t xml:space="preserve">Growing Up in Ireland (2017), </w:t>
      </w:r>
      <w:r w:rsidRPr="00896236">
        <w:rPr>
          <w:rFonts w:cstheme="minorHAnsi"/>
          <w:i/>
          <w:sz w:val="24"/>
          <w:szCs w:val="24"/>
        </w:rPr>
        <w:t>Key Findings: Infant cohort at 7/8 years, School and learning</w:t>
      </w:r>
      <w:r w:rsidRPr="00896236">
        <w:rPr>
          <w:rFonts w:cstheme="minorHAnsi"/>
          <w:sz w:val="24"/>
          <w:szCs w:val="24"/>
        </w:rPr>
        <w:t xml:space="preserve">, Dublin: ESRI </w:t>
      </w:r>
    </w:p>
    <w:p w14:paraId="3C60E480" w14:textId="77777777" w:rsidR="0043088D" w:rsidRPr="00896236" w:rsidRDefault="0043088D" w:rsidP="00896236">
      <w:pPr>
        <w:spacing w:line="360" w:lineRule="auto"/>
        <w:rPr>
          <w:rFonts w:cstheme="minorHAnsi"/>
          <w:sz w:val="24"/>
          <w:szCs w:val="24"/>
        </w:rPr>
      </w:pPr>
      <w:bookmarkStart w:id="9" w:name="_Hlk2691887"/>
      <w:r w:rsidRPr="00896236">
        <w:rPr>
          <w:rFonts w:cstheme="minorHAnsi"/>
          <w:sz w:val="24"/>
          <w:szCs w:val="24"/>
        </w:rPr>
        <w:t xml:space="preserve">HEA (2017), </w:t>
      </w:r>
      <w:r w:rsidRPr="00896236">
        <w:rPr>
          <w:rFonts w:cstheme="minorHAnsi"/>
          <w:i/>
          <w:sz w:val="24"/>
          <w:szCs w:val="24"/>
        </w:rPr>
        <w:t>Key Facts and Figures: Higher education 2015/16</w:t>
      </w:r>
      <w:r w:rsidRPr="00896236">
        <w:rPr>
          <w:rFonts w:cstheme="minorHAnsi"/>
          <w:sz w:val="24"/>
          <w:szCs w:val="24"/>
        </w:rPr>
        <w:t xml:space="preserve">, Dublin: Higher Education Authority </w:t>
      </w:r>
    </w:p>
    <w:p w14:paraId="7B9383CC" w14:textId="5666476A" w:rsidR="00DF3151" w:rsidRPr="00896236" w:rsidRDefault="00DF3151" w:rsidP="00896236">
      <w:pPr>
        <w:spacing w:line="360" w:lineRule="auto"/>
        <w:jc w:val="both"/>
        <w:rPr>
          <w:rFonts w:cstheme="minorHAnsi"/>
          <w:sz w:val="24"/>
          <w:szCs w:val="24"/>
        </w:rPr>
      </w:pPr>
      <w:r w:rsidRPr="00896236">
        <w:rPr>
          <w:rFonts w:cstheme="minorHAnsi"/>
          <w:sz w:val="24"/>
          <w:szCs w:val="24"/>
        </w:rPr>
        <w:t xml:space="preserve">HEA (2019), </w:t>
      </w:r>
      <w:r w:rsidRPr="00896236">
        <w:rPr>
          <w:rFonts w:cstheme="minorHAnsi"/>
          <w:i/>
          <w:sz w:val="24"/>
          <w:szCs w:val="24"/>
        </w:rPr>
        <w:t>Public Perceptions of Higher Education in Ireland</w:t>
      </w:r>
      <w:r w:rsidRPr="00896236">
        <w:rPr>
          <w:rFonts w:cstheme="minorHAnsi"/>
          <w:sz w:val="24"/>
          <w:szCs w:val="24"/>
        </w:rPr>
        <w:t xml:space="preserve">, Dublin: Higher Education Authority / Kantar </w:t>
      </w:r>
      <w:proofErr w:type="spellStart"/>
      <w:r w:rsidRPr="00896236">
        <w:rPr>
          <w:rFonts w:cstheme="minorHAnsi"/>
          <w:sz w:val="24"/>
          <w:szCs w:val="24"/>
        </w:rPr>
        <w:t>MillwardBrown</w:t>
      </w:r>
      <w:proofErr w:type="spellEnd"/>
    </w:p>
    <w:p w14:paraId="0B33A71C" w14:textId="77777777" w:rsidR="00C01181" w:rsidRPr="00896236" w:rsidRDefault="00C01181" w:rsidP="00896236">
      <w:pPr>
        <w:spacing w:line="360" w:lineRule="auto"/>
        <w:jc w:val="both"/>
        <w:rPr>
          <w:rFonts w:cstheme="minorHAnsi"/>
          <w:sz w:val="24"/>
          <w:szCs w:val="24"/>
        </w:rPr>
      </w:pPr>
      <w:bookmarkStart w:id="10" w:name="_Hlk24044891"/>
      <w:bookmarkStart w:id="11" w:name="_Hlk61520889"/>
      <w:bookmarkEnd w:id="9"/>
      <w:r w:rsidRPr="00896236">
        <w:rPr>
          <w:rFonts w:cstheme="minorHAnsi"/>
          <w:sz w:val="24"/>
          <w:szCs w:val="24"/>
        </w:rPr>
        <w:t xml:space="preserve">HEA (2019b), </w:t>
      </w:r>
      <w:r w:rsidRPr="00896236">
        <w:rPr>
          <w:rFonts w:cstheme="minorHAnsi"/>
          <w:i/>
          <w:sz w:val="24"/>
          <w:szCs w:val="24"/>
        </w:rPr>
        <w:t>A Spatial and Socio-Economic Profile of Higher Education Institutions in Ireland</w:t>
      </w:r>
      <w:r w:rsidRPr="00896236">
        <w:rPr>
          <w:rFonts w:cstheme="minorHAnsi"/>
          <w:sz w:val="24"/>
          <w:szCs w:val="24"/>
        </w:rPr>
        <w:t>, Dublin: Higher Education Authority</w:t>
      </w:r>
    </w:p>
    <w:bookmarkEnd w:id="10"/>
    <w:p w14:paraId="3AD3F32E" w14:textId="77777777" w:rsidR="008A530F" w:rsidRPr="00896236" w:rsidRDefault="008A530F" w:rsidP="00896236">
      <w:pPr>
        <w:spacing w:line="360" w:lineRule="auto"/>
        <w:jc w:val="both"/>
        <w:rPr>
          <w:rFonts w:cstheme="minorHAnsi"/>
          <w:sz w:val="24"/>
          <w:szCs w:val="24"/>
        </w:rPr>
      </w:pPr>
      <w:r w:rsidRPr="00896236">
        <w:rPr>
          <w:rFonts w:cstheme="minorHAnsi"/>
          <w:sz w:val="24"/>
          <w:szCs w:val="24"/>
        </w:rPr>
        <w:t xml:space="preserve">HEA (2019c), </w:t>
      </w:r>
      <w:r w:rsidRPr="00896236">
        <w:rPr>
          <w:rFonts w:cstheme="minorHAnsi"/>
          <w:i/>
          <w:sz w:val="24"/>
          <w:szCs w:val="24"/>
        </w:rPr>
        <w:t>An Analysis of Labour Market Earnings for Higher Education Graduates in Their Early Careers: Graduation cohorts 2010-2017</w:t>
      </w:r>
      <w:r w:rsidRPr="00896236">
        <w:rPr>
          <w:rFonts w:cstheme="minorHAnsi"/>
          <w:sz w:val="24"/>
          <w:szCs w:val="24"/>
        </w:rPr>
        <w:t>, Dublin: Higher Education Authority</w:t>
      </w:r>
    </w:p>
    <w:bookmarkEnd w:id="11"/>
    <w:p w14:paraId="68804379" w14:textId="0E670934" w:rsidR="00836BCA" w:rsidRPr="00896236" w:rsidRDefault="00836BCA" w:rsidP="00896236">
      <w:pPr>
        <w:spacing w:line="360" w:lineRule="auto"/>
        <w:rPr>
          <w:rFonts w:cstheme="minorHAnsi"/>
          <w:sz w:val="24"/>
          <w:szCs w:val="24"/>
        </w:rPr>
      </w:pPr>
      <w:proofErr w:type="spellStart"/>
      <w:r w:rsidRPr="00896236">
        <w:rPr>
          <w:rFonts w:cstheme="minorHAnsi"/>
          <w:sz w:val="24"/>
          <w:szCs w:val="24"/>
        </w:rPr>
        <w:t>Indecon</w:t>
      </w:r>
      <w:proofErr w:type="spellEnd"/>
      <w:r w:rsidRPr="00896236">
        <w:rPr>
          <w:rFonts w:cstheme="minorHAnsi"/>
          <w:sz w:val="24"/>
          <w:szCs w:val="24"/>
        </w:rPr>
        <w:t xml:space="preserve"> (2019), </w:t>
      </w:r>
      <w:r w:rsidRPr="00896236">
        <w:rPr>
          <w:rFonts w:cstheme="minorHAnsi"/>
          <w:i/>
          <w:sz w:val="24"/>
          <w:szCs w:val="24"/>
        </w:rPr>
        <w:t>Independent Assessment of the Economic and Social Impact of Irish Universities</w:t>
      </w:r>
      <w:r w:rsidRPr="00896236">
        <w:rPr>
          <w:rFonts w:cstheme="minorHAnsi"/>
          <w:sz w:val="24"/>
          <w:szCs w:val="24"/>
        </w:rPr>
        <w:t xml:space="preserve">, Dublin: </w:t>
      </w:r>
      <w:proofErr w:type="spellStart"/>
      <w:r w:rsidRPr="00896236">
        <w:rPr>
          <w:rFonts w:cstheme="minorHAnsi"/>
          <w:sz w:val="24"/>
          <w:szCs w:val="24"/>
        </w:rPr>
        <w:t>Indecon</w:t>
      </w:r>
      <w:proofErr w:type="spellEnd"/>
      <w:r w:rsidRPr="00896236">
        <w:rPr>
          <w:rFonts w:cstheme="minorHAnsi"/>
          <w:sz w:val="24"/>
          <w:szCs w:val="24"/>
        </w:rPr>
        <w:t xml:space="preserve"> / Irish Universities Association </w:t>
      </w:r>
    </w:p>
    <w:p w14:paraId="02DCB608" w14:textId="77777777" w:rsidR="00DF3151" w:rsidRPr="00896236" w:rsidRDefault="00DF3151" w:rsidP="00896236">
      <w:pPr>
        <w:autoSpaceDE w:val="0"/>
        <w:autoSpaceDN w:val="0"/>
        <w:adjustRightInd w:val="0"/>
        <w:spacing w:after="0" w:line="360" w:lineRule="auto"/>
        <w:jc w:val="both"/>
        <w:rPr>
          <w:rFonts w:cstheme="minorHAnsi"/>
          <w:sz w:val="24"/>
          <w:szCs w:val="24"/>
        </w:rPr>
      </w:pPr>
      <w:r w:rsidRPr="00896236">
        <w:rPr>
          <w:rFonts w:cstheme="minorHAnsi"/>
          <w:sz w:val="24"/>
          <w:szCs w:val="24"/>
        </w:rPr>
        <w:t xml:space="preserve">Kantar Millward Brown (2018), </w:t>
      </w:r>
      <w:r w:rsidRPr="00896236">
        <w:rPr>
          <w:rFonts w:cstheme="minorHAnsi"/>
          <w:i/>
          <w:sz w:val="24"/>
          <w:szCs w:val="24"/>
        </w:rPr>
        <w:t>Our Faith in Institutions</w:t>
      </w:r>
      <w:r w:rsidRPr="00896236">
        <w:rPr>
          <w:rFonts w:cstheme="minorHAnsi"/>
          <w:sz w:val="24"/>
          <w:szCs w:val="24"/>
        </w:rPr>
        <w:t>, Dublin: Kantar Millward Brown</w:t>
      </w:r>
    </w:p>
    <w:p w14:paraId="1AA4C21A" w14:textId="77777777" w:rsidR="00414D20" w:rsidRPr="00896236" w:rsidRDefault="00414D20" w:rsidP="00896236">
      <w:pPr>
        <w:autoSpaceDE w:val="0"/>
        <w:autoSpaceDN w:val="0"/>
        <w:adjustRightInd w:val="0"/>
        <w:spacing w:after="0" w:line="360" w:lineRule="auto"/>
        <w:rPr>
          <w:rFonts w:cstheme="minorHAnsi"/>
          <w:sz w:val="24"/>
          <w:szCs w:val="24"/>
        </w:rPr>
      </w:pPr>
      <w:bookmarkStart w:id="12" w:name="_Hlk61520866"/>
      <w:r w:rsidRPr="00896236">
        <w:rPr>
          <w:rFonts w:cstheme="minorHAnsi"/>
          <w:sz w:val="24"/>
          <w:szCs w:val="24"/>
        </w:rPr>
        <w:t xml:space="preserve">Liston, M., Pigott, V., Frawley, D. &amp; Carroll, D. (2018), </w:t>
      </w:r>
      <w:r w:rsidRPr="00896236">
        <w:rPr>
          <w:rFonts w:cstheme="minorHAnsi"/>
          <w:i/>
          <w:sz w:val="24"/>
          <w:szCs w:val="24"/>
        </w:rPr>
        <w:t>A Study of Progression in Irish Higher Education, 2014/15 to 2015/16</w:t>
      </w:r>
      <w:r w:rsidRPr="00896236">
        <w:rPr>
          <w:rFonts w:cstheme="minorHAnsi"/>
          <w:sz w:val="24"/>
          <w:szCs w:val="24"/>
        </w:rPr>
        <w:t xml:space="preserve">, Dublin: Higher Education Authority </w:t>
      </w:r>
    </w:p>
    <w:bookmarkEnd w:id="12"/>
    <w:p w14:paraId="7C03291E" w14:textId="77777777" w:rsidR="0059735C" w:rsidRPr="00896236" w:rsidRDefault="0059735C" w:rsidP="00896236">
      <w:pPr>
        <w:spacing w:line="360" w:lineRule="auto"/>
        <w:jc w:val="both"/>
        <w:rPr>
          <w:rFonts w:cstheme="minorHAnsi"/>
          <w:sz w:val="24"/>
          <w:szCs w:val="24"/>
        </w:rPr>
      </w:pPr>
      <w:r w:rsidRPr="00896236">
        <w:rPr>
          <w:rFonts w:cstheme="minorHAnsi"/>
          <w:sz w:val="24"/>
          <w:szCs w:val="24"/>
        </w:rPr>
        <w:t xml:space="preserve">McKeown, C., </w:t>
      </w:r>
      <w:proofErr w:type="spellStart"/>
      <w:r w:rsidRPr="00896236">
        <w:rPr>
          <w:rFonts w:cstheme="minorHAnsi"/>
          <w:sz w:val="24"/>
          <w:szCs w:val="24"/>
        </w:rPr>
        <w:t>Denner</w:t>
      </w:r>
      <w:proofErr w:type="spellEnd"/>
      <w:r w:rsidRPr="00896236">
        <w:rPr>
          <w:rFonts w:cstheme="minorHAnsi"/>
          <w:sz w:val="24"/>
          <w:szCs w:val="24"/>
        </w:rPr>
        <w:t xml:space="preserve">, S., McAteer, S., Shiel, G., O’Keeffe, L. (2019), </w:t>
      </w:r>
      <w:r w:rsidRPr="00896236">
        <w:rPr>
          <w:rFonts w:cstheme="minorHAnsi"/>
          <w:i/>
          <w:sz w:val="24"/>
          <w:szCs w:val="24"/>
        </w:rPr>
        <w:t>Learning for the Future: the performance of 15-year-olds in Ireland on reading literacy, science and mathematics in PISA 2018</w:t>
      </w:r>
      <w:r w:rsidRPr="00896236">
        <w:rPr>
          <w:rFonts w:cstheme="minorHAnsi"/>
          <w:sz w:val="24"/>
          <w:szCs w:val="24"/>
        </w:rPr>
        <w:t>, Dublin: Educational Research Centre</w:t>
      </w:r>
    </w:p>
    <w:p w14:paraId="204D508C" w14:textId="77777777" w:rsidR="00B62CE4" w:rsidRPr="00896236" w:rsidRDefault="00B62CE4" w:rsidP="00896236">
      <w:pPr>
        <w:spacing w:line="360" w:lineRule="auto"/>
        <w:jc w:val="both"/>
        <w:rPr>
          <w:rFonts w:cstheme="minorHAnsi"/>
          <w:sz w:val="24"/>
          <w:szCs w:val="24"/>
        </w:rPr>
      </w:pPr>
      <w:bookmarkStart w:id="13" w:name="_Hlk51330512"/>
      <w:r w:rsidRPr="00896236">
        <w:rPr>
          <w:rFonts w:cstheme="minorHAnsi"/>
          <w:sz w:val="24"/>
          <w:szCs w:val="24"/>
        </w:rPr>
        <w:t xml:space="preserve">McNamara, E., Murphy, D., Murray, A., Smyth, E. &amp; Watson, D. (2020), </w:t>
      </w:r>
      <w:r w:rsidRPr="00896236">
        <w:rPr>
          <w:rFonts w:cstheme="minorHAnsi"/>
          <w:i/>
          <w:sz w:val="24"/>
          <w:szCs w:val="24"/>
        </w:rPr>
        <w:t>The Lives of 17/18 Year Olds</w:t>
      </w:r>
      <w:r w:rsidRPr="00896236">
        <w:rPr>
          <w:rFonts w:cstheme="minorHAnsi"/>
          <w:sz w:val="24"/>
          <w:szCs w:val="24"/>
        </w:rPr>
        <w:t>, Dublin: Growing Up in Ireland</w:t>
      </w:r>
    </w:p>
    <w:bookmarkEnd w:id="13"/>
    <w:p w14:paraId="085B9D12" w14:textId="77777777" w:rsidR="00DF3151" w:rsidRPr="00896236" w:rsidRDefault="00DF3151" w:rsidP="00896236">
      <w:pPr>
        <w:spacing w:line="360" w:lineRule="auto"/>
        <w:jc w:val="both"/>
        <w:rPr>
          <w:rFonts w:cstheme="minorHAnsi"/>
          <w:sz w:val="24"/>
          <w:szCs w:val="24"/>
          <w:lang w:val="en-US"/>
        </w:rPr>
      </w:pPr>
      <w:r w:rsidRPr="00896236">
        <w:rPr>
          <w:rFonts w:cstheme="minorHAnsi"/>
          <w:sz w:val="24"/>
          <w:szCs w:val="24"/>
        </w:rPr>
        <w:t xml:space="preserve">NERI (2018), </w:t>
      </w:r>
      <w:r w:rsidRPr="00896236">
        <w:rPr>
          <w:rFonts w:cstheme="minorHAnsi"/>
          <w:i/>
          <w:sz w:val="24"/>
          <w:szCs w:val="24"/>
        </w:rPr>
        <w:t>Quarterly Economic Observer, Summer 2018</w:t>
      </w:r>
      <w:r w:rsidRPr="00896236">
        <w:rPr>
          <w:rFonts w:cstheme="minorHAnsi"/>
          <w:sz w:val="24"/>
          <w:szCs w:val="24"/>
        </w:rPr>
        <w:t>, Dublin: Nevin Economic Research Institute</w:t>
      </w:r>
      <w:r w:rsidRPr="00896236">
        <w:rPr>
          <w:rFonts w:cstheme="minorHAnsi"/>
          <w:sz w:val="24"/>
          <w:szCs w:val="24"/>
          <w:lang w:val="en-US"/>
        </w:rPr>
        <w:t xml:space="preserve"> </w:t>
      </w:r>
    </w:p>
    <w:p w14:paraId="1024E3AA" w14:textId="77777777" w:rsidR="00DF3151" w:rsidRPr="00896236" w:rsidRDefault="00DF3151" w:rsidP="00896236">
      <w:pPr>
        <w:spacing w:line="360" w:lineRule="auto"/>
        <w:jc w:val="both"/>
        <w:rPr>
          <w:rFonts w:cstheme="minorHAnsi"/>
          <w:sz w:val="24"/>
          <w:szCs w:val="24"/>
        </w:rPr>
      </w:pPr>
      <w:r w:rsidRPr="00896236">
        <w:rPr>
          <w:rFonts w:cstheme="minorHAnsi"/>
          <w:sz w:val="24"/>
          <w:szCs w:val="24"/>
        </w:rPr>
        <w:t xml:space="preserve">OECD (2013), </w:t>
      </w:r>
      <w:r w:rsidRPr="00896236">
        <w:rPr>
          <w:rFonts w:cstheme="minorHAnsi"/>
          <w:i/>
          <w:sz w:val="24"/>
          <w:szCs w:val="24"/>
        </w:rPr>
        <w:t xml:space="preserve">Education </w:t>
      </w:r>
      <w:proofErr w:type="gramStart"/>
      <w:r w:rsidRPr="00896236">
        <w:rPr>
          <w:rFonts w:cstheme="minorHAnsi"/>
          <w:i/>
          <w:sz w:val="24"/>
          <w:szCs w:val="24"/>
        </w:rPr>
        <w:t>at a Glance</w:t>
      </w:r>
      <w:proofErr w:type="gramEnd"/>
      <w:r w:rsidRPr="00896236">
        <w:rPr>
          <w:rFonts w:cstheme="minorHAnsi"/>
          <w:i/>
          <w:sz w:val="24"/>
          <w:szCs w:val="24"/>
        </w:rPr>
        <w:t xml:space="preserve"> 2013</w:t>
      </w:r>
      <w:r w:rsidRPr="00896236">
        <w:rPr>
          <w:rFonts w:cstheme="minorHAnsi"/>
          <w:sz w:val="24"/>
          <w:szCs w:val="24"/>
        </w:rPr>
        <w:t>, Paris: OECD Publishing</w:t>
      </w:r>
    </w:p>
    <w:p w14:paraId="723E9E89" w14:textId="77777777" w:rsidR="00DF3151" w:rsidRPr="00896236" w:rsidRDefault="00DF3151" w:rsidP="00896236">
      <w:pPr>
        <w:spacing w:line="360" w:lineRule="auto"/>
        <w:jc w:val="both"/>
        <w:rPr>
          <w:rFonts w:cstheme="minorHAnsi"/>
          <w:sz w:val="24"/>
          <w:szCs w:val="24"/>
        </w:rPr>
      </w:pPr>
      <w:r w:rsidRPr="00896236">
        <w:rPr>
          <w:rFonts w:cstheme="minorHAnsi"/>
          <w:sz w:val="24"/>
          <w:szCs w:val="24"/>
        </w:rPr>
        <w:t xml:space="preserve">OECD (2015a), </w:t>
      </w:r>
      <w:r w:rsidRPr="00896236">
        <w:rPr>
          <w:rFonts w:cstheme="minorHAnsi"/>
          <w:i/>
          <w:sz w:val="24"/>
          <w:szCs w:val="24"/>
        </w:rPr>
        <w:t xml:space="preserve">Government </w:t>
      </w:r>
      <w:proofErr w:type="gramStart"/>
      <w:r w:rsidRPr="00896236">
        <w:rPr>
          <w:rFonts w:cstheme="minorHAnsi"/>
          <w:i/>
          <w:sz w:val="24"/>
          <w:szCs w:val="24"/>
        </w:rPr>
        <w:t>at a Glance</w:t>
      </w:r>
      <w:proofErr w:type="gramEnd"/>
      <w:r w:rsidRPr="00896236">
        <w:rPr>
          <w:rFonts w:cstheme="minorHAnsi"/>
          <w:i/>
          <w:sz w:val="24"/>
          <w:szCs w:val="24"/>
        </w:rPr>
        <w:t xml:space="preserve"> 2015</w:t>
      </w:r>
      <w:r w:rsidRPr="00896236">
        <w:rPr>
          <w:rFonts w:cstheme="minorHAnsi"/>
          <w:sz w:val="24"/>
          <w:szCs w:val="24"/>
        </w:rPr>
        <w:t>, Paris: OECD Publishing</w:t>
      </w:r>
    </w:p>
    <w:p w14:paraId="6754ED4C" w14:textId="77777777" w:rsidR="00DF3151" w:rsidRPr="00896236" w:rsidRDefault="00DF3151" w:rsidP="00896236">
      <w:pPr>
        <w:spacing w:line="360" w:lineRule="auto"/>
        <w:jc w:val="both"/>
        <w:rPr>
          <w:rFonts w:cstheme="minorHAnsi"/>
          <w:sz w:val="24"/>
          <w:szCs w:val="24"/>
        </w:rPr>
      </w:pPr>
      <w:r w:rsidRPr="00896236">
        <w:rPr>
          <w:rFonts w:cstheme="minorHAnsi"/>
          <w:sz w:val="24"/>
          <w:szCs w:val="24"/>
        </w:rPr>
        <w:t xml:space="preserve">OECD (2015b), </w:t>
      </w:r>
      <w:r w:rsidRPr="00896236">
        <w:rPr>
          <w:rFonts w:cstheme="minorHAnsi"/>
          <w:i/>
          <w:sz w:val="24"/>
          <w:szCs w:val="24"/>
        </w:rPr>
        <w:t xml:space="preserve">Education </w:t>
      </w:r>
      <w:proofErr w:type="gramStart"/>
      <w:r w:rsidRPr="00896236">
        <w:rPr>
          <w:rFonts w:cstheme="minorHAnsi"/>
          <w:i/>
          <w:sz w:val="24"/>
          <w:szCs w:val="24"/>
        </w:rPr>
        <w:t>at a Glance</w:t>
      </w:r>
      <w:proofErr w:type="gramEnd"/>
      <w:r w:rsidRPr="00896236">
        <w:rPr>
          <w:rFonts w:cstheme="minorHAnsi"/>
          <w:i/>
          <w:sz w:val="24"/>
          <w:szCs w:val="24"/>
        </w:rPr>
        <w:t xml:space="preserve"> 2015</w:t>
      </w:r>
      <w:r w:rsidRPr="00896236">
        <w:rPr>
          <w:rFonts w:cstheme="minorHAnsi"/>
          <w:sz w:val="24"/>
          <w:szCs w:val="24"/>
        </w:rPr>
        <w:t>, Paris: OECD Publishing</w:t>
      </w:r>
    </w:p>
    <w:p w14:paraId="55870615" w14:textId="77777777" w:rsidR="00BE3F22" w:rsidRPr="00896236" w:rsidRDefault="00BE3F22" w:rsidP="00896236">
      <w:pPr>
        <w:spacing w:line="360" w:lineRule="auto"/>
        <w:rPr>
          <w:rFonts w:cstheme="minorHAnsi"/>
          <w:sz w:val="24"/>
          <w:szCs w:val="24"/>
        </w:rPr>
      </w:pPr>
      <w:r w:rsidRPr="00896236">
        <w:rPr>
          <w:rFonts w:cstheme="minorHAnsi"/>
          <w:sz w:val="24"/>
          <w:szCs w:val="24"/>
        </w:rPr>
        <w:lastRenderedPageBreak/>
        <w:t xml:space="preserve">OECD/EU (2017), </w:t>
      </w:r>
      <w:r w:rsidRPr="00896236">
        <w:rPr>
          <w:rFonts w:cstheme="minorHAnsi"/>
          <w:i/>
          <w:sz w:val="24"/>
          <w:szCs w:val="24"/>
        </w:rPr>
        <w:t>Supporting Entrepreneurship and Innovation in Higher Education in Ireland</w:t>
      </w:r>
      <w:r w:rsidRPr="00896236">
        <w:rPr>
          <w:rFonts w:cstheme="minorHAnsi"/>
          <w:sz w:val="24"/>
          <w:szCs w:val="24"/>
        </w:rPr>
        <w:t>, Paris: OECD Publishing</w:t>
      </w:r>
    </w:p>
    <w:p w14:paraId="3487411B" w14:textId="77777777" w:rsidR="00DF3151" w:rsidRPr="00896236" w:rsidRDefault="00DF3151" w:rsidP="00896236">
      <w:pPr>
        <w:spacing w:line="360" w:lineRule="auto"/>
        <w:jc w:val="both"/>
        <w:rPr>
          <w:rFonts w:cstheme="minorHAnsi"/>
          <w:sz w:val="24"/>
          <w:szCs w:val="24"/>
        </w:rPr>
      </w:pPr>
      <w:r w:rsidRPr="00896236">
        <w:rPr>
          <w:rFonts w:cstheme="minorHAnsi"/>
          <w:sz w:val="24"/>
          <w:szCs w:val="24"/>
        </w:rPr>
        <w:t xml:space="preserve">OECD (2019a), </w:t>
      </w:r>
      <w:r w:rsidRPr="00896236">
        <w:rPr>
          <w:rFonts w:cstheme="minorHAnsi"/>
          <w:i/>
          <w:sz w:val="24"/>
          <w:szCs w:val="24"/>
        </w:rPr>
        <w:t xml:space="preserve">Education </w:t>
      </w:r>
      <w:proofErr w:type="gramStart"/>
      <w:r w:rsidRPr="00896236">
        <w:rPr>
          <w:rFonts w:cstheme="minorHAnsi"/>
          <w:i/>
          <w:sz w:val="24"/>
          <w:szCs w:val="24"/>
        </w:rPr>
        <w:t>at a Glance</w:t>
      </w:r>
      <w:proofErr w:type="gramEnd"/>
      <w:r w:rsidRPr="00896236">
        <w:rPr>
          <w:rFonts w:cstheme="minorHAnsi"/>
          <w:i/>
          <w:sz w:val="24"/>
          <w:szCs w:val="24"/>
        </w:rPr>
        <w:t xml:space="preserve"> 2019</w:t>
      </w:r>
      <w:r w:rsidRPr="00896236">
        <w:rPr>
          <w:rFonts w:cstheme="minorHAnsi"/>
          <w:sz w:val="24"/>
          <w:szCs w:val="24"/>
        </w:rPr>
        <w:t>, Paris: OECD Publishing</w:t>
      </w:r>
    </w:p>
    <w:p w14:paraId="43D96B6C" w14:textId="77777777" w:rsidR="00DF3151" w:rsidRPr="00896236" w:rsidRDefault="00DF3151" w:rsidP="00896236">
      <w:pPr>
        <w:spacing w:line="360" w:lineRule="auto"/>
        <w:jc w:val="both"/>
        <w:rPr>
          <w:rFonts w:cstheme="minorHAnsi"/>
          <w:sz w:val="24"/>
          <w:szCs w:val="24"/>
        </w:rPr>
      </w:pPr>
      <w:r w:rsidRPr="00896236">
        <w:rPr>
          <w:rFonts w:cstheme="minorHAnsi"/>
          <w:sz w:val="24"/>
          <w:szCs w:val="24"/>
        </w:rPr>
        <w:t xml:space="preserve">OECD (2019b), </w:t>
      </w:r>
      <w:r w:rsidRPr="00896236">
        <w:rPr>
          <w:rFonts w:cstheme="minorHAnsi"/>
          <w:i/>
          <w:sz w:val="24"/>
          <w:szCs w:val="24"/>
        </w:rPr>
        <w:t xml:space="preserve">Government </w:t>
      </w:r>
      <w:proofErr w:type="gramStart"/>
      <w:r w:rsidRPr="00896236">
        <w:rPr>
          <w:rFonts w:cstheme="minorHAnsi"/>
          <w:i/>
          <w:sz w:val="24"/>
          <w:szCs w:val="24"/>
        </w:rPr>
        <w:t>at a Glance</w:t>
      </w:r>
      <w:proofErr w:type="gramEnd"/>
      <w:r w:rsidRPr="00896236">
        <w:rPr>
          <w:rFonts w:cstheme="minorHAnsi"/>
          <w:i/>
          <w:sz w:val="24"/>
          <w:szCs w:val="24"/>
        </w:rPr>
        <w:t xml:space="preserve"> 2019</w:t>
      </w:r>
      <w:r w:rsidRPr="00896236">
        <w:rPr>
          <w:rFonts w:cstheme="minorHAnsi"/>
          <w:sz w:val="24"/>
          <w:szCs w:val="24"/>
        </w:rPr>
        <w:t>, Paris: OECD Publishing</w:t>
      </w:r>
    </w:p>
    <w:p w14:paraId="06FAD412" w14:textId="3EE58E1B" w:rsidR="003E48CA" w:rsidRPr="00896236" w:rsidRDefault="003E48CA" w:rsidP="00896236">
      <w:pPr>
        <w:spacing w:line="360" w:lineRule="auto"/>
        <w:jc w:val="both"/>
        <w:rPr>
          <w:rFonts w:cstheme="minorHAnsi"/>
          <w:sz w:val="24"/>
          <w:szCs w:val="24"/>
        </w:rPr>
      </w:pPr>
      <w:r w:rsidRPr="00896236">
        <w:rPr>
          <w:rFonts w:cstheme="minorHAnsi"/>
          <w:sz w:val="24"/>
          <w:szCs w:val="24"/>
        </w:rPr>
        <w:t xml:space="preserve">OECD (2020), </w:t>
      </w:r>
      <w:r w:rsidRPr="00896236">
        <w:rPr>
          <w:rFonts w:cstheme="minorHAnsi"/>
          <w:i/>
          <w:sz w:val="24"/>
          <w:szCs w:val="24"/>
        </w:rPr>
        <w:t>Education Policy Outlook Ireland</w:t>
      </w:r>
      <w:r w:rsidRPr="00896236">
        <w:rPr>
          <w:rFonts w:cstheme="minorHAnsi"/>
          <w:sz w:val="24"/>
          <w:szCs w:val="24"/>
        </w:rPr>
        <w:t>, Paris: OECD Publishing</w:t>
      </w:r>
    </w:p>
    <w:p w14:paraId="435F6AFA" w14:textId="77777777" w:rsidR="009900FB" w:rsidRPr="00896236" w:rsidRDefault="009900FB" w:rsidP="00896236">
      <w:pPr>
        <w:spacing w:line="360" w:lineRule="auto"/>
        <w:rPr>
          <w:rFonts w:cstheme="minorHAnsi"/>
          <w:sz w:val="24"/>
          <w:szCs w:val="24"/>
        </w:rPr>
      </w:pPr>
      <w:bookmarkStart w:id="14" w:name="_Hlk53495545"/>
      <w:bookmarkStart w:id="15" w:name="_Hlk61521051"/>
      <w:proofErr w:type="spellStart"/>
      <w:r w:rsidRPr="00896236">
        <w:rPr>
          <w:rFonts w:cstheme="minorHAnsi"/>
          <w:sz w:val="24"/>
          <w:szCs w:val="24"/>
        </w:rPr>
        <w:t>Phulphagar</w:t>
      </w:r>
      <w:proofErr w:type="spellEnd"/>
      <w:r w:rsidRPr="00896236">
        <w:rPr>
          <w:rFonts w:cstheme="minorHAnsi"/>
          <w:sz w:val="24"/>
          <w:szCs w:val="24"/>
        </w:rPr>
        <w:t xml:space="preserve">, R. &amp; Kane, F. (2020), </w:t>
      </w:r>
      <w:r w:rsidRPr="00896236">
        <w:rPr>
          <w:rFonts w:cstheme="minorHAnsi"/>
          <w:i/>
          <w:iCs/>
          <w:sz w:val="24"/>
          <w:szCs w:val="24"/>
        </w:rPr>
        <w:t>Social Impact Assessment Series: Student Grants Scheme</w:t>
      </w:r>
      <w:r w:rsidRPr="00896236">
        <w:rPr>
          <w:rFonts w:cstheme="minorHAnsi"/>
          <w:sz w:val="24"/>
          <w:szCs w:val="24"/>
        </w:rPr>
        <w:t>, Dublin: Government of Ireland</w:t>
      </w:r>
      <w:bookmarkEnd w:id="14"/>
      <w:r w:rsidRPr="00896236">
        <w:rPr>
          <w:rFonts w:cstheme="minorHAnsi"/>
          <w:sz w:val="24"/>
          <w:szCs w:val="24"/>
        </w:rPr>
        <w:t xml:space="preserve"> </w:t>
      </w:r>
    </w:p>
    <w:bookmarkEnd w:id="15"/>
    <w:p w14:paraId="2549B97F" w14:textId="77777777" w:rsidR="00DF3151" w:rsidRPr="00896236" w:rsidRDefault="00DF3151" w:rsidP="00896236">
      <w:pPr>
        <w:autoSpaceDE w:val="0"/>
        <w:autoSpaceDN w:val="0"/>
        <w:adjustRightInd w:val="0"/>
        <w:spacing w:after="0" w:line="360" w:lineRule="auto"/>
        <w:jc w:val="both"/>
        <w:rPr>
          <w:rFonts w:cstheme="minorHAnsi"/>
          <w:sz w:val="24"/>
          <w:szCs w:val="24"/>
        </w:rPr>
      </w:pPr>
      <w:r w:rsidRPr="00896236">
        <w:rPr>
          <w:rFonts w:cstheme="minorHAnsi"/>
          <w:sz w:val="24"/>
          <w:szCs w:val="24"/>
        </w:rPr>
        <w:t xml:space="preserve">Scanlon, G. &amp; McKenna, G. (2018), </w:t>
      </w:r>
      <w:proofErr w:type="gramStart"/>
      <w:r w:rsidRPr="00896236">
        <w:rPr>
          <w:rFonts w:cstheme="minorHAnsi"/>
          <w:i/>
          <w:sz w:val="24"/>
          <w:szCs w:val="24"/>
        </w:rPr>
        <w:t>Home Works</w:t>
      </w:r>
      <w:proofErr w:type="gramEnd"/>
      <w:r w:rsidRPr="00896236">
        <w:rPr>
          <w:rFonts w:cstheme="minorHAnsi"/>
          <w:i/>
          <w:sz w:val="24"/>
          <w:szCs w:val="24"/>
        </w:rPr>
        <w:t>: A study on the educational needs of children experiencing homelessness and living in emergency accommodation</w:t>
      </w:r>
      <w:r w:rsidRPr="00896236">
        <w:rPr>
          <w:rFonts w:cstheme="minorHAnsi"/>
          <w:sz w:val="24"/>
          <w:szCs w:val="24"/>
        </w:rPr>
        <w:t xml:space="preserve">, Dublin: Children’s Rights Alliance </w:t>
      </w:r>
    </w:p>
    <w:p w14:paraId="185E145B" w14:textId="77777777" w:rsidR="00DF3151" w:rsidRPr="00896236" w:rsidRDefault="00DF3151" w:rsidP="00896236">
      <w:pPr>
        <w:autoSpaceDE w:val="0"/>
        <w:autoSpaceDN w:val="0"/>
        <w:adjustRightInd w:val="0"/>
        <w:spacing w:after="0" w:line="360" w:lineRule="auto"/>
        <w:jc w:val="both"/>
        <w:rPr>
          <w:rFonts w:cstheme="minorHAnsi"/>
          <w:sz w:val="24"/>
          <w:szCs w:val="24"/>
        </w:rPr>
      </w:pPr>
      <w:r w:rsidRPr="00896236">
        <w:rPr>
          <w:rFonts w:cstheme="minorHAnsi"/>
          <w:sz w:val="24"/>
          <w:szCs w:val="24"/>
        </w:rPr>
        <w:t xml:space="preserve">SJI (2018), </w:t>
      </w:r>
      <w:r w:rsidRPr="00896236">
        <w:rPr>
          <w:rFonts w:cstheme="minorHAnsi"/>
          <w:i/>
          <w:sz w:val="24"/>
          <w:szCs w:val="24"/>
        </w:rPr>
        <w:t>Poverty Focus 2018</w:t>
      </w:r>
      <w:r w:rsidRPr="00896236">
        <w:rPr>
          <w:rFonts w:cstheme="minorHAnsi"/>
          <w:sz w:val="24"/>
          <w:szCs w:val="24"/>
        </w:rPr>
        <w:t>, Dublin: Social Justice Ireland</w:t>
      </w:r>
    </w:p>
    <w:p w14:paraId="6C3FAB04" w14:textId="77777777" w:rsidR="00DF3151" w:rsidRPr="00896236" w:rsidRDefault="00DF3151" w:rsidP="00896236">
      <w:pPr>
        <w:spacing w:line="360" w:lineRule="auto"/>
        <w:jc w:val="both"/>
        <w:rPr>
          <w:rFonts w:cstheme="minorHAnsi"/>
          <w:sz w:val="24"/>
          <w:szCs w:val="24"/>
        </w:rPr>
      </w:pPr>
      <w:r w:rsidRPr="00896236">
        <w:rPr>
          <w:rFonts w:cstheme="minorHAnsi"/>
          <w:sz w:val="24"/>
          <w:szCs w:val="24"/>
        </w:rPr>
        <w:t xml:space="preserve">Social Progress Initiative (2018), </w:t>
      </w:r>
      <w:r w:rsidRPr="00896236">
        <w:rPr>
          <w:rFonts w:cstheme="minorHAnsi"/>
          <w:i/>
          <w:sz w:val="24"/>
          <w:szCs w:val="24"/>
        </w:rPr>
        <w:t>Social Progress Index 2018</w:t>
      </w:r>
      <w:r w:rsidRPr="00896236">
        <w:rPr>
          <w:rFonts w:cstheme="minorHAnsi"/>
          <w:sz w:val="24"/>
          <w:szCs w:val="24"/>
        </w:rPr>
        <w:t>, Washington DC, USA: Social Progress Imperative</w:t>
      </w:r>
    </w:p>
    <w:p w14:paraId="6190AEFD" w14:textId="6ED1BD45" w:rsidR="00DF3151" w:rsidRPr="00896236" w:rsidRDefault="00DF3151" w:rsidP="00896236">
      <w:pPr>
        <w:spacing w:line="360" w:lineRule="auto"/>
        <w:jc w:val="both"/>
        <w:rPr>
          <w:rFonts w:cstheme="minorHAnsi"/>
          <w:sz w:val="24"/>
          <w:szCs w:val="24"/>
        </w:rPr>
      </w:pPr>
      <w:bookmarkStart w:id="16" w:name="_Hlk1746735"/>
      <w:r w:rsidRPr="00896236">
        <w:rPr>
          <w:rFonts w:cstheme="minorHAnsi"/>
          <w:sz w:val="24"/>
          <w:szCs w:val="24"/>
        </w:rPr>
        <w:t xml:space="preserve">Teaching Council (2010), </w:t>
      </w:r>
      <w:r w:rsidRPr="00896236">
        <w:rPr>
          <w:rFonts w:cstheme="minorHAnsi"/>
          <w:i/>
          <w:sz w:val="24"/>
          <w:szCs w:val="24"/>
        </w:rPr>
        <w:t>Evaluation of Public Attitudes to the Teaching Profession</w:t>
      </w:r>
      <w:r w:rsidRPr="00896236">
        <w:rPr>
          <w:rFonts w:cstheme="minorHAnsi"/>
          <w:sz w:val="24"/>
          <w:szCs w:val="24"/>
        </w:rPr>
        <w:t>, Maynooth: Teaching Council</w:t>
      </w:r>
    </w:p>
    <w:p w14:paraId="2F3F3C78" w14:textId="77777777" w:rsidR="008A530F" w:rsidRPr="00896236" w:rsidRDefault="008A530F" w:rsidP="00896236">
      <w:pPr>
        <w:spacing w:line="360" w:lineRule="auto"/>
        <w:rPr>
          <w:rFonts w:cstheme="minorHAnsi"/>
          <w:sz w:val="24"/>
          <w:szCs w:val="24"/>
        </w:rPr>
      </w:pPr>
      <w:bookmarkStart w:id="17" w:name="_Hlk61520953"/>
      <w:bookmarkEnd w:id="16"/>
      <w:r w:rsidRPr="00896236">
        <w:rPr>
          <w:rFonts w:cstheme="minorHAnsi"/>
          <w:sz w:val="24"/>
          <w:szCs w:val="24"/>
        </w:rPr>
        <w:t xml:space="preserve">Thorn, R. (2018), </w:t>
      </w:r>
      <w:r w:rsidRPr="00896236">
        <w:rPr>
          <w:rFonts w:cstheme="minorHAnsi"/>
          <w:i/>
          <w:sz w:val="24"/>
          <w:szCs w:val="24"/>
        </w:rPr>
        <w:t>No Artificial Limits: Ireland’s regional technical colleges</w:t>
      </w:r>
      <w:r w:rsidRPr="00896236">
        <w:rPr>
          <w:rFonts w:cstheme="minorHAnsi"/>
          <w:sz w:val="24"/>
          <w:szCs w:val="24"/>
        </w:rPr>
        <w:t>, Dublin: Institute of Public Administration</w:t>
      </w:r>
    </w:p>
    <w:bookmarkEnd w:id="17"/>
    <w:p w14:paraId="5A52C1A8" w14:textId="77777777" w:rsidR="00DF3151" w:rsidRPr="00896236" w:rsidRDefault="00DF3151" w:rsidP="00896236">
      <w:pPr>
        <w:spacing w:line="360" w:lineRule="auto"/>
        <w:jc w:val="both"/>
        <w:rPr>
          <w:rFonts w:cstheme="minorHAnsi"/>
          <w:sz w:val="24"/>
          <w:szCs w:val="24"/>
        </w:rPr>
      </w:pPr>
      <w:r w:rsidRPr="00896236">
        <w:rPr>
          <w:rFonts w:cstheme="minorHAnsi"/>
          <w:sz w:val="24"/>
          <w:szCs w:val="24"/>
        </w:rPr>
        <w:t xml:space="preserve">United Nations Development Programme (2018), </w:t>
      </w:r>
      <w:r w:rsidRPr="00896236">
        <w:rPr>
          <w:rFonts w:cstheme="minorHAnsi"/>
          <w:i/>
          <w:sz w:val="24"/>
          <w:szCs w:val="24"/>
        </w:rPr>
        <w:t>Human Development Indices and Indicators: 2018 statistical update</w:t>
      </w:r>
      <w:r w:rsidRPr="00896236">
        <w:rPr>
          <w:rFonts w:cstheme="minorHAnsi"/>
          <w:sz w:val="24"/>
          <w:szCs w:val="24"/>
        </w:rPr>
        <w:t>, New York: United Nations</w:t>
      </w:r>
    </w:p>
    <w:p w14:paraId="33DC4058" w14:textId="77777777" w:rsidR="00A86D58" w:rsidRPr="00896236" w:rsidRDefault="00A86D58" w:rsidP="00896236">
      <w:pPr>
        <w:spacing w:line="360" w:lineRule="auto"/>
        <w:jc w:val="both"/>
        <w:rPr>
          <w:rFonts w:cstheme="minorHAnsi"/>
          <w:sz w:val="24"/>
          <w:szCs w:val="24"/>
        </w:rPr>
      </w:pPr>
      <w:r w:rsidRPr="00896236">
        <w:rPr>
          <w:rFonts w:cstheme="minorHAnsi"/>
          <w:sz w:val="24"/>
          <w:szCs w:val="24"/>
        </w:rPr>
        <w:t xml:space="preserve">UNDP (2019), </w:t>
      </w:r>
      <w:r w:rsidRPr="00896236">
        <w:rPr>
          <w:rFonts w:cstheme="minorHAnsi"/>
          <w:i/>
          <w:sz w:val="24"/>
          <w:szCs w:val="24"/>
        </w:rPr>
        <w:t>Human Development Report 2019</w:t>
      </w:r>
      <w:r w:rsidRPr="00896236">
        <w:rPr>
          <w:rFonts w:cstheme="minorHAnsi"/>
          <w:sz w:val="24"/>
          <w:szCs w:val="24"/>
        </w:rPr>
        <w:t>, New York: United Nations Development Programme</w:t>
      </w:r>
    </w:p>
    <w:p w14:paraId="239D428B" w14:textId="77777777" w:rsidR="00DF3151" w:rsidRPr="00896236" w:rsidRDefault="00DF3151" w:rsidP="00896236">
      <w:pPr>
        <w:spacing w:line="360" w:lineRule="auto"/>
        <w:jc w:val="both"/>
        <w:rPr>
          <w:rFonts w:cstheme="minorHAnsi"/>
          <w:b/>
          <w:sz w:val="24"/>
          <w:szCs w:val="24"/>
        </w:rPr>
      </w:pPr>
    </w:p>
    <w:sectPr w:rsidR="00DF3151" w:rsidRPr="0089623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8424" w14:textId="77777777" w:rsidR="00E20F09" w:rsidRDefault="00E20F09" w:rsidP="001E5DAD">
      <w:pPr>
        <w:spacing w:after="0" w:line="240" w:lineRule="auto"/>
      </w:pPr>
      <w:r>
        <w:separator/>
      </w:r>
    </w:p>
  </w:endnote>
  <w:endnote w:type="continuationSeparator" w:id="0">
    <w:p w14:paraId="652D4070" w14:textId="77777777" w:rsidR="00E20F09" w:rsidRDefault="00E20F09" w:rsidP="001E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Grotesque-Regular">
    <w:altName w:val="MS Gothic"/>
    <w:panose1 w:val="00000000000000000000"/>
    <w:charset w:val="80"/>
    <w:family w:val="swiss"/>
    <w:notTrueType/>
    <w:pitch w:val="default"/>
    <w:sig w:usb0="00000000" w:usb1="08070000" w:usb2="00000010" w:usb3="00000000" w:csb0="00020000"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246612"/>
      <w:docPartObj>
        <w:docPartGallery w:val="Page Numbers (Bottom of Page)"/>
        <w:docPartUnique/>
      </w:docPartObj>
    </w:sdtPr>
    <w:sdtEndPr>
      <w:rPr>
        <w:noProof/>
      </w:rPr>
    </w:sdtEndPr>
    <w:sdtContent>
      <w:p w14:paraId="2F698548" w14:textId="77777777" w:rsidR="005174F7" w:rsidRDefault="005174F7">
        <w:pPr>
          <w:pStyle w:val="Footer"/>
          <w:jc w:val="right"/>
        </w:pPr>
        <w:r>
          <w:fldChar w:fldCharType="begin"/>
        </w:r>
        <w:r>
          <w:instrText xml:space="preserve"> PAGE   \* MERGEFORMAT </w:instrText>
        </w:r>
        <w:r>
          <w:fldChar w:fldCharType="separate"/>
        </w:r>
        <w:r w:rsidR="00DD0EF8">
          <w:rPr>
            <w:noProof/>
          </w:rPr>
          <w:t>17</w:t>
        </w:r>
        <w:r>
          <w:rPr>
            <w:noProof/>
          </w:rPr>
          <w:fldChar w:fldCharType="end"/>
        </w:r>
      </w:p>
    </w:sdtContent>
  </w:sdt>
  <w:p w14:paraId="7E2AD526" w14:textId="77777777" w:rsidR="005174F7" w:rsidRDefault="00517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1F75E" w14:textId="77777777" w:rsidR="00E20F09" w:rsidRDefault="00E20F09" w:rsidP="001E5DAD">
      <w:pPr>
        <w:spacing w:after="0" w:line="240" w:lineRule="auto"/>
      </w:pPr>
      <w:r>
        <w:separator/>
      </w:r>
    </w:p>
  </w:footnote>
  <w:footnote w:type="continuationSeparator" w:id="0">
    <w:p w14:paraId="4248409E" w14:textId="77777777" w:rsidR="00E20F09" w:rsidRDefault="00E20F09" w:rsidP="001E5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91D"/>
    <w:multiLevelType w:val="hybridMultilevel"/>
    <w:tmpl w:val="FCF4E9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94D54"/>
    <w:multiLevelType w:val="hybridMultilevel"/>
    <w:tmpl w:val="98929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0C2E46"/>
    <w:multiLevelType w:val="hybridMultilevel"/>
    <w:tmpl w:val="E64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E44B3F"/>
    <w:multiLevelType w:val="hybridMultilevel"/>
    <w:tmpl w:val="D9BA6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EA239C"/>
    <w:multiLevelType w:val="hybridMultilevel"/>
    <w:tmpl w:val="9124A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FF71F0"/>
    <w:multiLevelType w:val="hybridMultilevel"/>
    <w:tmpl w:val="C5FA8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572A38"/>
    <w:multiLevelType w:val="hybridMultilevel"/>
    <w:tmpl w:val="C6F2C25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AB839C6"/>
    <w:multiLevelType w:val="hybridMultilevel"/>
    <w:tmpl w:val="5AE21F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333F42"/>
    <w:multiLevelType w:val="hybridMultilevel"/>
    <w:tmpl w:val="F8E88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0D0133"/>
    <w:multiLevelType w:val="hybridMultilevel"/>
    <w:tmpl w:val="41802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DB07314"/>
    <w:multiLevelType w:val="hybridMultilevel"/>
    <w:tmpl w:val="ED2662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7B16C2"/>
    <w:multiLevelType w:val="hybridMultilevel"/>
    <w:tmpl w:val="877C0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E7402F"/>
    <w:multiLevelType w:val="hybridMultilevel"/>
    <w:tmpl w:val="E488F4AC"/>
    <w:lvl w:ilvl="0" w:tplc="3340888C">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2A7534"/>
    <w:multiLevelType w:val="hybridMultilevel"/>
    <w:tmpl w:val="1D1AD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E917B29"/>
    <w:multiLevelType w:val="hybridMultilevel"/>
    <w:tmpl w:val="48EE4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6880DEF"/>
    <w:multiLevelType w:val="hybridMultilevel"/>
    <w:tmpl w:val="7B40C698"/>
    <w:lvl w:ilvl="0" w:tplc="1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80F3833"/>
    <w:multiLevelType w:val="hybridMultilevel"/>
    <w:tmpl w:val="7D1C3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DB5418"/>
    <w:multiLevelType w:val="hybridMultilevel"/>
    <w:tmpl w:val="B8F03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B218F8"/>
    <w:multiLevelType w:val="hybridMultilevel"/>
    <w:tmpl w:val="12964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0CC57BC"/>
    <w:multiLevelType w:val="hybridMultilevel"/>
    <w:tmpl w:val="5A12FA46"/>
    <w:lvl w:ilvl="0" w:tplc="FFFFFFFF">
      <w:start w:val="1"/>
      <w:numFmt w:val="bullet"/>
      <w:lvlText w:val="•"/>
      <w:lvlJc w:val="left"/>
    </w:lvl>
    <w:lvl w:ilvl="1" w:tplc="1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25B2104"/>
    <w:multiLevelType w:val="multilevel"/>
    <w:tmpl w:val="96EA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31080"/>
    <w:multiLevelType w:val="hybridMultilevel"/>
    <w:tmpl w:val="611AAA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7727F4A"/>
    <w:multiLevelType w:val="multilevel"/>
    <w:tmpl w:val="132A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910C87"/>
    <w:multiLevelType w:val="hybridMultilevel"/>
    <w:tmpl w:val="B2587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C29512A"/>
    <w:multiLevelType w:val="hybridMultilevel"/>
    <w:tmpl w:val="137A7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C5C71FE"/>
    <w:multiLevelType w:val="hybridMultilevel"/>
    <w:tmpl w:val="CA164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1513130"/>
    <w:multiLevelType w:val="multilevel"/>
    <w:tmpl w:val="91AA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DC7048"/>
    <w:multiLevelType w:val="hybridMultilevel"/>
    <w:tmpl w:val="7C10E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9FF3B5D"/>
    <w:multiLevelType w:val="hybridMultilevel"/>
    <w:tmpl w:val="7EC4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273267"/>
    <w:multiLevelType w:val="hybridMultilevel"/>
    <w:tmpl w:val="A9081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C430FCF"/>
    <w:multiLevelType w:val="hybridMultilevel"/>
    <w:tmpl w:val="6068D6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F056EA6"/>
    <w:multiLevelType w:val="hybridMultilevel"/>
    <w:tmpl w:val="3CA290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8A65536"/>
    <w:multiLevelType w:val="hybridMultilevel"/>
    <w:tmpl w:val="9B2680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8E53C6C"/>
    <w:multiLevelType w:val="hybridMultilevel"/>
    <w:tmpl w:val="8BD03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B681B13"/>
    <w:multiLevelType w:val="hybridMultilevel"/>
    <w:tmpl w:val="DA8E10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CC435E5"/>
    <w:multiLevelType w:val="hybridMultilevel"/>
    <w:tmpl w:val="8EFA94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D4B0A51"/>
    <w:multiLevelType w:val="hybridMultilevel"/>
    <w:tmpl w:val="F6441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41"/>
  </w:num>
  <w:num w:numId="5">
    <w:abstractNumId w:val="36"/>
  </w:num>
  <w:num w:numId="6">
    <w:abstractNumId w:val="3"/>
  </w:num>
  <w:num w:numId="7">
    <w:abstractNumId w:val="13"/>
  </w:num>
  <w:num w:numId="8">
    <w:abstractNumId w:val="33"/>
  </w:num>
  <w:num w:numId="9">
    <w:abstractNumId w:val="19"/>
  </w:num>
  <w:num w:numId="10">
    <w:abstractNumId w:val="4"/>
  </w:num>
  <w:num w:numId="11">
    <w:abstractNumId w:val="8"/>
  </w:num>
  <w:num w:numId="12">
    <w:abstractNumId w:val="35"/>
  </w:num>
  <w:num w:numId="13">
    <w:abstractNumId w:val="1"/>
  </w:num>
  <w:num w:numId="14">
    <w:abstractNumId w:val="37"/>
  </w:num>
  <w:num w:numId="15">
    <w:abstractNumId w:val="2"/>
  </w:num>
  <w:num w:numId="16">
    <w:abstractNumId w:val="0"/>
  </w:num>
  <w:num w:numId="17">
    <w:abstractNumId w:val="12"/>
  </w:num>
  <w:num w:numId="18">
    <w:abstractNumId w:val="6"/>
  </w:num>
  <w:num w:numId="19">
    <w:abstractNumId w:val="46"/>
  </w:num>
  <w:num w:numId="20">
    <w:abstractNumId w:val="17"/>
  </w:num>
  <w:num w:numId="21">
    <w:abstractNumId w:val="9"/>
  </w:num>
  <w:num w:numId="22">
    <w:abstractNumId w:val="23"/>
  </w:num>
  <w:num w:numId="23">
    <w:abstractNumId w:val="31"/>
  </w:num>
  <w:num w:numId="24">
    <w:abstractNumId w:val="30"/>
  </w:num>
  <w:num w:numId="25">
    <w:abstractNumId w:val="38"/>
  </w:num>
  <w:num w:numId="26">
    <w:abstractNumId w:val="24"/>
  </w:num>
  <w:num w:numId="27">
    <w:abstractNumId w:val="25"/>
  </w:num>
  <w:num w:numId="28">
    <w:abstractNumId w:val="29"/>
  </w:num>
  <w:num w:numId="29">
    <w:abstractNumId w:val="39"/>
  </w:num>
  <w:num w:numId="30">
    <w:abstractNumId w:val="26"/>
  </w:num>
  <w:num w:numId="31">
    <w:abstractNumId w:val="45"/>
  </w:num>
  <w:num w:numId="32">
    <w:abstractNumId w:val="43"/>
  </w:num>
  <w:num w:numId="33">
    <w:abstractNumId w:val="22"/>
  </w:num>
  <w:num w:numId="34">
    <w:abstractNumId w:val="11"/>
  </w:num>
  <w:num w:numId="35">
    <w:abstractNumId w:val="28"/>
  </w:num>
  <w:num w:numId="36">
    <w:abstractNumId w:val="10"/>
  </w:num>
  <w:num w:numId="37">
    <w:abstractNumId w:val="32"/>
  </w:num>
  <w:num w:numId="38">
    <w:abstractNumId w:val="21"/>
  </w:num>
  <w:num w:numId="39">
    <w:abstractNumId w:val="16"/>
  </w:num>
  <w:num w:numId="40">
    <w:abstractNumId w:val="7"/>
  </w:num>
  <w:num w:numId="41">
    <w:abstractNumId w:val="44"/>
  </w:num>
  <w:num w:numId="42">
    <w:abstractNumId w:val="40"/>
  </w:num>
  <w:num w:numId="43">
    <w:abstractNumId w:val="42"/>
  </w:num>
  <w:num w:numId="44">
    <w:abstractNumId w:val="20"/>
  </w:num>
  <w:num w:numId="45">
    <w:abstractNumId w:val="27"/>
  </w:num>
  <w:num w:numId="46">
    <w:abstractNumId w:val="18"/>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4"/>
    <w:rsid w:val="00001F6F"/>
    <w:rsid w:val="000029AA"/>
    <w:rsid w:val="00012004"/>
    <w:rsid w:val="00014283"/>
    <w:rsid w:val="00020DB4"/>
    <w:rsid w:val="00021C7B"/>
    <w:rsid w:val="0002703A"/>
    <w:rsid w:val="00030807"/>
    <w:rsid w:val="0003484C"/>
    <w:rsid w:val="000373BB"/>
    <w:rsid w:val="00037410"/>
    <w:rsid w:val="00047681"/>
    <w:rsid w:val="000478ED"/>
    <w:rsid w:val="00056261"/>
    <w:rsid w:val="00060907"/>
    <w:rsid w:val="00061478"/>
    <w:rsid w:val="000737B9"/>
    <w:rsid w:val="000747EB"/>
    <w:rsid w:val="000761CB"/>
    <w:rsid w:val="0007629A"/>
    <w:rsid w:val="000814FF"/>
    <w:rsid w:val="00087033"/>
    <w:rsid w:val="00091563"/>
    <w:rsid w:val="0009306C"/>
    <w:rsid w:val="00095A0E"/>
    <w:rsid w:val="000B6848"/>
    <w:rsid w:val="000B6D1B"/>
    <w:rsid w:val="000B70CE"/>
    <w:rsid w:val="000C09F6"/>
    <w:rsid w:val="000C2063"/>
    <w:rsid w:val="000C4690"/>
    <w:rsid w:val="000E218D"/>
    <w:rsid w:val="000E22A7"/>
    <w:rsid w:val="000E49FC"/>
    <w:rsid w:val="000E4F4D"/>
    <w:rsid w:val="000F61E9"/>
    <w:rsid w:val="001036F9"/>
    <w:rsid w:val="00103BE3"/>
    <w:rsid w:val="0010428C"/>
    <w:rsid w:val="00104EEA"/>
    <w:rsid w:val="00114E08"/>
    <w:rsid w:val="00123F17"/>
    <w:rsid w:val="001267B0"/>
    <w:rsid w:val="00130A2C"/>
    <w:rsid w:val="001373E0"/>
    <w:rsid w:val="00151694"/>
    <w:rsid w:val="001542F7"/>
    <w:rsid w:val="0016203D"/>
    <w:rsid w:val="001669AD"/>
    <w:rsid w:val="001674FA"/>
    <w:rsid w:val="001676B4"/>
    <w:rsid w:val="001766F9"/>
    <w:rsid w:val="001843B1"/>
    <w:rsid w:val="0018717F"/>
    <w:rsid w:val="001903B6"/>
    <w:rsid w:val="0019362F"/>
    <w:rsid w:val="00194340"/>
    <w:rsid w:val="00196E79"/>
    <w:rsid w:val="00197292"/>
    <w:rsid w:val="001A0ED8"/>
    <w:rsid w:val="001A4CC9"/>
    <w:rsid w:val="001A5441"/>
    <w:rsid w:val="001B6F24"/>
    <w:rsid w:val="001D18D6"/>
    <w:rsid w:val="001D412D"/>
    <w:rsid w:val="001D4955"/>
    <w:rsid w:val="001E5DAD"/>
    <w:rsid w:val="001F05DA"/>
    <w:rsid w:val="001F3BFD"/>
    <w:rsid w:val="0020709E"/>
    <w:rsid w:val="00207614"/>
    <w:rsid w:val="00211C0D"/>
    <w:rsid w:val="0021436E"/>
    <w:rsid w:val="002203AD"/>
    <w:rsid w:val="00224E1D"/>
    <w:rsid w:val="0023272C"/>
    <w:rsid w:val="002365DE"/>
    <w:rsid w:val="00237348"/>
    <w:rsid w:val="002374A4"/>
    <w:rsid w:val="00237706"/>
    <w:rsid w:val="002428EB"/>
    <w:rsid w:val="00246EE2"/>
    <w:rsid w:val="00262A94"/>
    <w:rsid w:val="00262C9A"/>
    <w:rsid w:val="00273D34"/>
    <w:rsid w:val="00282CA3"/>
    <w:rsid w:val="0029002D"/>
    <w:rsid w:val="002A4917"/>
    <w:rsid w:val="002A569F"/>
    <w:rsid w:val="002A70E5"/>
    <w:rsid w:val="002B258C"/>
    <w:rsid w:val="002B3562"/>
    <w:rsid w:val="002B51BF"/>
    <w:rsid w:val="002C51C8"/>
    <w:rsid w:val="002D649B"/>
    <w:rsid w:val="002D6B85"/>
    <w:rsid w:val="002D6DF6"/>
    <w:rsid w:val="002E13B8"/>
    <w:rsid w:val="002E553B"/>
    <w:rsid w:val="002F03FE"/>
    <w:rsid w:val="002F2AD1"/>
    <w:rsid w:val="002F5110"/>
    <w:rsid w:val="002F6B90"/>
    <w:rsid w:val="003103A8"/>
    <w:rsid w:val="00311D90"/>
    <w:rsid w:val="00322891"/>
    <w:rsid w:val="003348F4"/>
    <w:rsid w:val="003409C9"/>
    <w:rsid w:val="00342095"/>
    <w:rsid w:val="003500DD"/>
    <w:rsid w:val="003505F9"/>
    <w:rsid w:val="00364612"/>
    <w:rsid w:val="00372CB1"/>
    <w:rsid w:val="00381BD5"/>
    <w:rsid w:val="00383317"/>
    <w:rsid w:val="00383C04"/>
    <w:rsid w:val="003959E2"/>
    <w:rsid w:val="003A1DE4"/>
    <w:rsid w:val="003B07B6"/>
    <w:rsid w:val="003B0F86"/>
    <w:rsid w:val="003B128D"/>
    <w:rsid w:val="003C18DB"/>
    <w:rsid w:val="003C3DC0"/>
    <w:rsid w:val="003D05BB"/>
    <w:rsid w:val="003D29AE"/>
    <w:rsid w:val="003D4A25"/>
    <w:rsid w:val="003D615F"/>
    <w:rsid w:val="003D79EF"/>
    <w:rsid w:val="003E48CA"/>
    <w:rsid w:val="003E7EED"/>
    <w:rsid w:val="003F14EB"/>
    <w:rsid w:val="003F2ED9"/>
    <w:rsid w:val="003F380D"/>
    <w:rsid w:val="00401B9F"/>
    <w:rsid w:val="00404331"/>
    <w:rsid w:val="00406327"/>
    <w:rsid w:val="00406C64"/>
    <w:rsid w:val="0041104C"/>
    <w:rsid w:val="00414D20"/>
    <w:rsid w:val="00417290"/>
    <w:rsid w:val="0042135E"/>
    <w:rsid w:val="00421387"/>
    <w:rsid w:val="00425AD7"/>
    <w:rsid w:val="0043088D"/>
    <w:rsid w:val="00433CE8"/>
    <w:rsid w:val="004341CF"/>
    <w:rsid w:val="0043434D"/>
    <w:rsid w:val="00436892"/>
    <w:rsid w:val="0044056A"/>
    <w:rsid w:val="00441438"/>
    <w:rsid w:val="00444AE4"/>
    <w:rsid w:val="00472ABE"/>
    <w:rsid w:val="004849FF"/>
    <w:rsid w:val="00485D6A"/>
    <w:rsid w:val="00487B33"/>
    <w:rsid w:val="00492A36"/>
    <w:rsid w:val="004965AF"/>
    <w:rsid w:val="00496F45"/>
    <w:rsid w:val="004B21D7"/>
    <w:rsid w:val="004B3052"/>
    <w:rsid w:val="004D6CBA"/>
    <w:rsid w:val="004F0CBB"/>
    <w:rsid w:val="004F10DA"/>
    <w:rsid w:val="005055F6"/>
    <w:rsid w:val="00507252"/>
    <w:rsid w:val="005104D2"/>
    <w:rsid w:val="005134F0"/>
    <w:rsid w:val="005160BD"/>
    <w:rsid w:val="005174F7"/>
    <w:rsid w:val="0052098E"/>
    <w:rsid w:val="00522790"/>
    <w:rsid w:val="005272FA"/>
    <w:rsid w:val="00540E21"/>
    <w:rsid w:val="00544C1D"/>
    <w:rsid w:val="00547022"/>
    <w:rsid w:val="0055001B"/>
    <w:rsid w:val="00551508"/>
    <w:rsid w:val="00554298"/>
    <w:rsid w:val="005663E7"/>
    <w:rsid w:val="00572042"/>
    <w:rsid w:val="00577038"/>
    <w:rsid w:val="00590DC6"/>
    <w:rsid w:val="00593319"/>
    <w:rsid w:val="00596E64"/>
    <w:rsid w:val="0059735C"/>
    <w:rsid w:val="005A1AA3"/>
    <w:rsid w:val="005A4FDC"/>
    <w:rsid w:val="005A5019"/>
    <w:rsid w:val="005B289F"/>
    <w:rsid w:val="005B6394"/>
    <w:rsid w:val="005D6C86"/>
    <w:rsid w:val="005D7EF3"/>
    <w:rsid w:val="005E23A3"/>
    <w:rsid w:val="005E3702"/>
    <w:rsid w:val="00614B81"/>
    <w:rsid w:val="0061555D"/>
    <w:rsid w:val="00627F22"/>
    <w:rsid w:val="006306BB"/>
    <w:rsid w:val="00632D41"/>
    <w:rsid w:val="006475F0"/>
    <w:rsid w:val="00662449"/>
    <w:rsid w:val="00666E2F"/>
    <w:rsid w:val="00671C18"/>
    <w:rsid w:val="006754E4"/>
    <w:rsid w:val="00693265"/>
    <w:rsid w:val="00693A05"/>
    <w:rsid w:val="00693C7E"/>
    <w:rsid w:val="00695428"/>
    <w:rsid w:val="006956F5"/>
    <w:rsid w:val="00696401"/>
    <w:rsid w:val="0069772B"/>
    <w:rsid w:val="006B767C"/>
    <w:rsid w:val="006C2012"/>
    <w:rsid w:val="006C3BF5"/>
    <w:rsid w:val="006D5DE5"/>
    <w:rsid w:val="006E0AE7"/>
    <w:rsid w:val="006E4257"/>
    <w:rsid w:val="006E4C85"/>
    <w:rsid w:val="006F0734"/>
    <w:rsid w:val="006F2752"/>
    <w:rsid w:val="006F5036"/>
    <w:rsid w:val="006F5DF0"/>
    <w:rsid w:val="007005BB"/>
    <w:rsid w:val="0070085E"/>
    <w:rsid w:val="007024A5"/>
    <w:rsid w:val="00703ECB"/>
    <w:rsid w:val="00703FF1"/>
    <w:rsid w:val="0071123F"/>
    <w:rsid w:val="00714692"/>
    <w:rsid w:val="0071478C"/>
    <w:rsid w:val="00714E32"/>
    <w:rsid w:val="00726161"/>
    <w:rsid w:val="00740AEB"/>
    <w:rsid w:val="00742439"/>
    <w:rsid w:val="00752E1A"/>
    <w:rsid w:val="00752F55"/>
    <w:rsid w:val="007725A4"/>
    <w:rsid w:val="00774CF1"/>
    <w:rsid w:val="00775B69"/>
    <w:rsid w:val="007941B9"/>
    <w:rsid w:val="007950E3"/>
    <w:rsid w:val="007972DC"/>
    <w:rsid w:val="007A01F7"/>
    <w:rsid w:val="007B42FE"/>
    <w:rsid w:val="007B4766"/>
    <w:rsid w:val="007B4A4C"/>
    <w:rsid w:val="007B68AB"/>
    <w:rsid w:val="007C6EA7"/>
    <w:rsid w:val="007D59D1"/>
    <w:rsid w:val="007D7C35"/>
    <w:rsid w:val="007D7C46"/>
    <w:rsid w:val="007D7D5B"/>
    <w:rsid w:val="007E025D"/>
    <w:rsid w:val="007E2C0C"/>
    <w:rsid w:val="007E2CA8"/>
    <w:rsid w:val="007E46FA"/>
    <w:rsid w:val="007E5A75"/>
    <w:rsid w:val="007E5BC8"/>
    <w:rsid w:val="007E6BF7"/>
    <w:rsid w:val="008039C7"/>
    <w:rsid w:val="008175A8"/>
    <w:rsid w:val="008260D5"/>
    <w:rsid w:val="00836BCA"/>
    <w:rsid w:val="00836D4D"/>
    <w:rsid w:val="00844B02"/>
    <w:rsid w:val="008457C5"/>
    <w:rsid w:val="00846E46"/>
    <w:rsid w:val="00852D95"/>
    <w:rsid w:val="008549CA"/>
    <w:rsid w:val="008555E9"/>
    <w:rsid w:val="00855607"/>
    <w:rsid w:val="00861287"/>
    <w:rsid w:val="00866555"/>
    <w:rsid w:val="00870E5E"/>
    <w:rsid w:val="00881BF0"/>
    <w:rsid w:val="0088751A"/>
    <w:rsid w:val="0089023E"/>
    <w:rsid w:val="00894A8B"/>
    <w:rsid w:val="00896236"/>
    <w:rsid w:val="008A29B6"/>
    <w:rsid w:val="008A530F"/>
    <w:rsid w:val="008B6210"/>
    <w:rsid w:val="008C1AAB"/>
    <w:rsid w:val="008C25EE"/>
    <w:rsid w:val="008C7075"/>
    <w:rsid w:val="008D3DE9"/>
    <w:rsid w:val="008D5F28"/>
    <w:rsid w:val="008E17AE"/>
    <w:rsid w:val="008E31BF"/>
    <w:rsid w:val="008F0276"/>
    <w:rsid w:val="008F5D4B"/>
    <w:rsid w:val="009072E2"/>
    <w:rsid w:val="00911BE1"/>
    <w:rsid w:val="00914004"/>
    <w:rsid w:val="009204E0"/>
    <w:rsid w:val="009244B3"/>
    <w:rsid w:val="00933273"/>
    <w:rsid w:val="00951F5B"/>
    <w:rsid w:val="00960A99"/>
    <w:rsid w:val="00964FCE"/>
    <w:rsid w:val="0096518E"/>
    <w:rsid w:val="00970670"/>
    <w:rsid w:val="009833B2"/>
    <w:rsid w:val="009874F0"/>
    <w:rsid w:val="009900FB"/>
    <w:rsid w:val="00990B58"/>
    <w:rsid w:val="00996DAF"/>
    <w:rsid w:val="009A07CB"/>
    <w:rsid w:val="009A44B5"/>
    <w:rsid w:val="009A454B"/>
    <w:rsid w:val="009B51AA"/>
    <w:rsid w:val="009B5314"/>
    <w:rsid w:val="009D40FE"/>
    <w:rsid w:val="009D77E5"/>
    <w:rsid w:val="009E0685"/>
    <w:rsid w:val="009E3863"/>
    <w:rsid w:val="00A02D26"/>
    <w:rsid w:val="00A12494"/>
    <w:rsid w:val="00A124EC"/>
    <w:rsid w:val="00A14C57"/>
    <w:rsid w:val="00A21D2A"/>
    <w:rsid w:val="00A23190"/>
    <w:rsid w:val="00A406EF"/>
    <w:rsid w:val="00A427DA"/>
    <w:rsid w:val="00A43DEB"/>
    <w:rsid w:val="00A45A22"/>
    <w:rsid w:val="00A560A4"/>
    <w:rsid w:val="00A60169"/>
    <w:rsid w:val="00A6616E"/>
    <w:rsid w:val="00A67B64"/>
    <w:rsid w:val="00A67C0D"/>
    <w:rsid w:val="00A71439"/>
    <w:rsid w:val="00A81D53"/>
    <w:rsid w:val="00A86514"/>
    <w:rsid w:val="00A86D58"/>
    <w:rsid w:val="00A87EC0"/>
    <w:rsid w:val="00A93302"/>
    <w:rsid w:val="00AB1F22"/>
    <w:rsid w:val="00AB30BB"/>
    <w:rsid w:val="00AC068A"/>
    <w:rsid w:val="00AC1AF9"/>
    <w:rsid w:val="00AC44B7"/>
    <w:rsid w:val="00AC49BB"/>
    <w:rsid w:val="00AC6DA7"/>
    <w:rsid w:val="00AC6FC2"/>
    <w:rsid w:val="00AD7A53"/>
    <w:rsid w:val="00AF2DE2"/>
    <w:rsid w:val="00AF31A1"/>
    <w:rsid w:val="00AF4C85"/>
    <w:rsid w:val="00AF632C"/>
    <w:rsid w:val="00B0086B"/>
    <w:rsid w:val="00B00A9A"/>
    <w:rsid w:val="00B041E2"/>
    <w:rsid w:val="00B24201"/>
    <w:rsid w:val="00B275A3"/>
    <w:rsid w:val="00B31A73"/>
    <w:rsid w:val="00B40FA7"/>
    <w:rsid w:val="00B42153"/>
    <w:rsid w:val="00B45E7A"/>
    <w:rsid w:val="00B46FE1"/>
    <w:rsid w:val="00B47744"/>
    <w:rsid w:val="00B5761B"/>
    <w:rsid w:val="00B604AB"/>
    <w:rsid w:val="00B62CE4"/>
    <w:rsid w:val="00B71361"/>
    <w:rsid w:val="00B72F20"/>
    <w:rsid w:val="00B80181"/>
    <w:rsid w:val="00B805A7"/>
    <w:rsid w:val="00B832AD"/>
    <w:rsid w:val="00B965F9"/>
    <w:rsid w:val="00B97F9A"/>
    <w:rsid w:val="00BA05C8"/>
    <w:rsid w:val="00BA1AAC"/>
    <w:rsid w:val="00BB24CC"/>
    <w:rsid w:val="00BC397C"/>
    <w:rsid w:val="00BC7727"/>
    <w:rsid w:val="00BD0FAF"/>
    <w:rsid w:val="00BD16B5"/>
    <w:rsid w:val="00BD3F30"/>
    <w:rsid w:val="00BE047F"/>
    <w:rsid w:val="00BE3F22"/>
    <w:rsid w:val="00BE44E7"/>
    <w:rsid w:val="00BE5097"/>
    <w:rsid w:val="00BE5ADF"/>
    <w:rsid w:val="00BF012F"/>
    <w:rsid w:val="00BF7DBD"/>
    <w:rsid w:val="00C01181"/>
    <w:rsid w:val="00C04963"/>
    <w:rsid w:val="00C15932"/>
    <w:rsid w:val="00C2074B"/>
    <w:rsid w:val="00C20F3D"/>
    <w:rsid w:val="00C31378"/>
    <w:rsid w:val="00C4003F"/>
    <w:rsid w:val="00C42293"/>
    <w:rsid w:val="00C43B5E"/>
    <w:rsid w:val="00C5559F"/>
    <w:rsid w:val="00C570F1"/>
    <w:rsid w:val="00C62F46"/>
    <w:rsid w:val="00C75B3A"/>
    <w:rsid w:val="00C82175"/>
    <w:rsid w:val="00C82359"/>
    <w:rsid w:val="00C866CB"/>
    <w:rsid w:val="00C8791A"/>
    <w:rsid w:val="00C91E2E"/>
    <w:rsid w:val="00CA64F7"/>
    <w:rsid w:val="00CB0E55"/>
    <w:rsid w:val="00CB3A74"/>
    <w:rsid w:val="00CC2D5E"/>
    <w:rsid w:val="00CC2E33"/>
    <w:rsid w:val="00CE789D"/>
    <w:rsid w:val="00CF09DF"/>
    <w:rsid w:val="00D035B0"/>
    <w:rsid w:val="00D042DB"/>
    <w:rsid w:val="00D06190"/>
    <w:rsid w:val="00D10301"/>
    <w:rsid w:val="00D117DF"/>
    <w:rsid w:val="00D1662A"/>
    <w:rsid w:val="00D223A8"/>
    <w:rsid w:val="00D22D32"/>
    <w:rsid w:val="00D30809"/>
    <w:rsid w:val="00D31359"/>
    <w:rsid w:val="00D317E4"/>
    <w:rsid w:val="00D42450"/>
    <w:rsid w:val="00D44FD2"/>
    <w:rsid w:val="00D5057C"/>
    <w:rsid w:val="00D5471B"/>
    <w:rsid w:val="00D54949"/>
    <w:rsid w:val="00D56152"/>
    <w:rsid w:val="00D61DEB"/>
    <w:rsid w:val="00D67347"/>
    <w:rsid w:val="00D72892"/>
    <w:rsid w:val="00D750D5"/>
    <w:rsid w:val="00D82B80"/>
    <w:rsid w:val="00D8462B"/>
    <w:rsid w:val="00D85EDF"/>
    <w:rsid w:val="00D943C0"/>
    <w:rsid w:val="00D972D5"/>
    <w:rsid w:val="00DA62B1"/>
    <w:rsid w:val="00DB42E6"/>
    <w:rsid w:val="00DB478A"/>
    <w:rsid w:val="00DB78F2"/>
    <w:rsid w:val="00DC52A6"/>
    <w:rsid w:val="00DD0EF8"/>
    <w:rsid w:val="00DD6132"/>
    <w:rsid w:val="00DE4CD9"/>
    <w:rsid w:val="00DF3151"/>
    <w:rsid w:val="00DF3B6B"/>
    <w:rsid w:val="00E144AB"/>
    <w:rsid w:val="00E14A80"/>
    <w:rsid w:val="00E20F09"/>
    <w:rsid w:val="00E332E7"/>
    <w:rsid w:val="00E33EBD"/>
    <w:rsid w:val="00E4177A"/>
    <w:rsid w:val="00E450EB"/>
    <w:rsid w:val="00E45461"/>
    <w:rsid w:val="00E46AC7"/>
    <w:rsid w:val="00E46CA0"/>
    <w:rsid w:val="00E512CE"/>
    <w:rsid w:val="00E556CC"/>
    <w:rsid w:val="00E63D39"/>
    <w:rsid w:val="00E70C0A"/>
    <w:rsid w:val="00E73014"/>
    <w:rsid w:val="00E7790C"/>
    <w:rsid w:val="00E844CB"/>
    <w:rsid w:val="00E8660C"/>
    <w:rsid w:val="00E86DFF"/>
    <w:rsid w:val="00E90F0F"/>
    <w:rsid w:val="00EA0D26"/>
    <w:rsid w:val="00EB31F6"/>
    <w:rsid w:val="00EB75A4"/>
    <w:rsid w:val="00EC3D1B"/>
    <w:rsid w:val="00EC4F8A"/>
    <w:rsid w:val="00EC5BF6"/>
    <w:rsid w:val="00ED75AF"/>
    <w:rsid w:val="00EE5F15"/>
    <w:rsid w:val="00EF1D64"/>
    <w:rsid w:val="00EF6982"/>
    <w:rsid w:val="00F00375"/>
    <w:rsid w:val="00F0103A"/>
    <w:rsid w:val="00F0172A"/>
    <w:rsid w:val="00F0670C"/>
    <w:rsid w:val="00F06D14"/>
    <w:rsid w:val="00F175D9"/>
    <w:rsid w:val="00F23667"/>
    <w:rsid w:val="00F2507B"/>
    <w:rsid w:val="00F25568"/>
    <w:rsid w:val="00F46C7F"/>
    <w:rsid w:val="00F54A8A"/>
    <w:rsid w:val="00F56CF9"/>
    <w:rsid w:val="00F63919"/>
    <w:rsid w:val="00F71F8F"/>
    <w:rsid w:val="00F737E2"/>
    <w:rsid w:val="00F749AF"/>
    <w:rsid w:val="00F801F4"/>
    <w:rsid w:val="00F8484A"/>
    <w:rsid w:val="00F95C41"/>
    <w:rsid w:val="00FB37BF"/>
    <w:rsid w:val="00FB5A84"/>
    <w:rsid w:val="00FC0292"/>
    <w:rsid w:val="00FC0AD0"/>
    <w:rsid w:val="00FC34CB"/>
    <w:rsid w:val="00FC5DA7"/>
    <w:rsid w:val="00FC6EF4"/>
    <w:rsid w:val="00FC73A7"/>
    <w:rsid w:val="00FC7805"/>
    <w:rsid w:val="00FD092B"/>
    <w:rsid w:val="00FE6A22"/>
    <w:rsid w:val="00FF5BF6"/>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C9F3"/>
  <w15:docId w15:val="{63A2ECE8-8EEE-4F71-ABD2-5E25A30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E79"/>
    <w:pPr>
      <w:keepNext/>
      <w:keepLines/>
      <w:spacing w:before="480" w:after="0" w:line="240" w:lineRule="auto"/>
      <w:jc w:val="both"/>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A60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0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6016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6016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paragraph" w:styleId="Header">
    <w:name w:val="header"/>
    <w:basedOn w:val="Normal"/>
    <w:link w:val="HeaderChar"/>
    <w:uiPriority w:val="99"/>
    <w:unhideWhenUsed/>
    <w:rsid w:val="001E5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AD"/>
  </w:style>
  <w:style w:type="paragraph" w:styleId="Footer">
    <w:name w:val="footer"/>
    <w:basedOn w:val="Normal"/>
    <w:link w:val="FooterChar"/>
    <w:uiPriority w:val="99"/>
    <w:unhideWhenUsed/>
    <w:rsid w:val="001E5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AD"/>
  </w:style>
  <w:style w:type="character" w:customStyle="1" w:styleId="Heading1Char">
    <w:name w:val="Heading 1 Char"/>
    <w:basedOn w:val="DefaultParagraphFont"/>
    <w:link w:val="Heading1"/>
    <w:uiPriority w:val="9"/>
    <w:rsid w:val="00196E79"/>
    <w:rPr>
      <w:rFonts w:asciiTheme="majorHAnsi" w:eastAsiaTheme="majorEastAsia" w:hAnsiTheme="majorHAnsi" w:cstheme="majorBidi"/>
      <w:b/>
      <w:bCs/>
      <w:color w:val="2C6EAB" w:themeColor="accent1" w:themeShade="B5"/>
      <w:sz w:val="32"/>
      <w:szCs w:val="32"/>
    </w:rPr>
  </w:style>
  <w:style w:type="paragraph" w:customStyle="1" w:styleId="Default">
    <w:name w:val="Default"/>
    <w:rsid w:val="004B21D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83317"/>
    <w:rPr>
      <w:color w:val="0563C1" w:themeColor="hyperlink"/>
      <w:u w:val="single"/>
    </w:rPr>
  </w:style>
  <w:style w:type="character" w:styleId="Mention">
    <w:name w:val="Mention"/>
    <w:basedOn w:val="DefaultParagraphFont"/>
    <w:uiPriority w:val="99"/>
    <w:semiHidden/>
    <w:unhideWhenUsed/>
    <w:rsid w:val="00383317"/>
    <w:rPr>
      <w:color w:val="2B579A"/>
      <w:shd w:val="clear" w:color="auto" w:fill="E6E6E6"/>
    </w:rPr>
  </w:style>
  <w:style w:type="paragraph" w:styleId="NormalWeb">
    <w:name w:val="Normal (Web)"/>
    <w:basedOn w:val="Normal"/>
    <w:uiPriority w:val="99"/>
    <w:unhideWhenUsed/>
    <w:rsid w:val="0020709E"/>
    <w:rPr>
      <w:rFonts w:ascii="Times New Roman" w:hAnsi="Times New Roman" w:cs="Times New Roman"/>
      <w:sz w:val="24"/>
      <w:szCs w:val="24"/>
    </w:rPr>
  </w:style>
  <w:style w:type="paragraph" w:customStyle="1" w:styleId="Maintext2">
    <w:name w:val="Main text2"/>
    <w:basedOn w:val="Normal"/>
    <w:link w:val="Maintext2Char"/>
    <w:qFormat/>
    <w:rsid w:val="007A01F7"/>
    <w:pPr>
      <w:spacing w:after="200" w:line="360" w:lineRule="auto"/>
      <w:jc w:val="both"/>
    </w:pPr>
    <w:rPr>
      <w:rFonts w:ascii="Times New Roman" w:eastAsiaTheme="minorEastAsia" w:hAnsi="Times New Roman" w:cs="Times New Roman"/>
      <w:sz w:val="24"/>
      <w:szCs w:val="24"/>
      <w:lang w:eastAsia="en-IE"/>
    </w:rPr>
  </w:style>
  <w:style w:type="character" w:customStyle="1" w:styleId="Maintext2Char">
    <w:name w:val="Main text2 Char"/>
    <w:basedOn w:val="DefaultParagraphFont"/>
    <w:link w:val="Maintext2"/>
    <w:rsid w:val="007A01F7"/>
    <w:rPr>
      <w:rFonts w:ascii="Times New Roman" w:eastAsiaTheme="minorEastAsia" w:hAnsi="Times New Roman" w:cs="Times New Roman"/>
      <w:sz w:val="24"/>
      <w:szCs w:val="24"/>
      <w:lang w:eastAsia="en-IE"/>
    </w:rPr>
  </w:style>
  <w:style w:type="paragraph" w:customStyle="1" w:styleId="noname">
    <w:name w:val="no_name"/>
    <w:basedOn w:val="Normal"/>
    <w:rsid w:val="00D042DB"/>
    <w:pPr>
      <w:spacing w:after="0"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39"/>
    <w:rsid w:val="004F1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72892"/>
    <w:pPr>
      <w:spacing w:after="0" w:line="240" w:lineRule="auto"/>
    </w:pPr>
    <w:rPr>
      <w:rFonts w:eastAsiaTheme="minorEastAsia" w:cs="Times New Roman"/>
      <w:sz w:val="20"/>
      <w:szCs w:val="20"/>
      <w:lang w:val="en-GB"/>
    </w:rPr>
  </w:style>
  <w:style w:type="character" w:customStyle="1" w:styleId="NoSpacingChar">
    <w:name w:val="No Spacing Char"/>
    <w:basedOn w:val="DefaultParagraphFont"/>
    <w:link w:val="NoSpacing"/>
    <w:uiPriority w:val="1"/>
    <w:locked/>
    <w:rsid w:val="00D72892"/>
    <w:rPr>
      <w:rFonts w:eastAsiaTheme="minorEastAsia" w:cs="Times New Roman"/>
      <w:sz w:val="20"/>
      <w:szCs w:val="20"/>
      <w:lang w:val="en-GB"/>
    </w:rPr>
  </w:style>
  <w:style w:type="character" w:customStyle="1" w:styleId="Heading2Char">
    <w:name w:val="Heading 2 Char"/>
    <w:basedOn w:val="DefaultParagraphFont"/>
    <w:link w:val="Heading2"/>
    <w:uiPriority w:val="9"/>
    <w:semiHidden/>
    <w:rsid w:val="00A60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6016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6016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60169"/>
    <w:rPr>
      <w:rFonts w:asciiTheme="majorHAnsi" w:eastAsiaTheme="majorEastAsia" w:hAnsiTheme="majorHAnsi" w:cstheme="majorBidi"/>
      <w:color w:val="2E74B5" w:themeColor="accent1" w:themeShade="BF"/>
    </w:rPr>
  </w:style>
  <w:style w:type="paragraph" w:styleId="PlainText">
    <w:name w:val="Plain Text"/>
    <w:basedOn w:val="Normal"/>
    <w:link w:val="PlainTextChar"/>
    <w:uiPriority w:val="99"/>
    <w:semiHidden/>
    <w:unhideWhenUsed/>
    <w:rsid w:val="0096518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6518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0448">
      <w:bodyDiv w:val="1"/>
      <w:marLeft w:val="0"/>
      <w:marRight w:val="0"/>
      <w:marTop w:val="0"/>
      <w:marBottom w:val="0"/>
      <w:divBdr>
        <w:top w:val="none" w:sz="0" w:space="0" w:color="auto"/>
        <w:left w:val="none" w:sz="0" w:space="0" w:color="auto"/>
        <w:bottom w:val="none" w:sz="0" w:space="0" w:color="auto"/>
        <w:right w:val="none" w:sz="0" w:space="0" w:color="auto"/>
      </w:divBdr>
      <w:divsChild>
        <w:div w:id="18436295">
          <w:marLeft w:val="0"/>
          <w:marRight w:val="0"/>
          <w:marTop w:val="0"/>
          <w:marBottom w:val="0"/>
          <w:divBdr>
            <w:top w:val="none" w:sz="0" w:space="0" w:color="auto"/>
            <w:left w:val="none" w:sz="0" w:space="0" w:color="auto"/>
            <w:bottom w:val="none" w:sz="0" w:space="0" w:color="auto"/>
            <w:right w:val="none" w:sz="0" w:space="0" w:color="auto"/>
          </w:divBdr>
          <w:divsChild>
            <w:div w:id="1863779632">
              <w:marLeft w:val="0"/>
              <w:marRight w:val="0"/>
              <w:marTop w:val="0"/>
              <w:marBottom w:val="0"/>
              <w:divBdr>
                <w:top w:val="none" w:sz="0" w:space="0" w:color="auto"/>
                <w:left w:val="none" w:sz="0" w:space="0" w:color="auto"/>
                <w:bottom w:val="none" w:sz="0" w:space="0" w:color="auto"/>
                <w:right w:val="none" w:sz="0" w:space="0" w:color="auto"/>
              </w:divBdr>
              <w:divsChild>
                <w:div w:id="1902129128">
                  <w:marLeft w:val="0"/>
                  <w:marRight w:val="0"/>
                  <w:marTop w:val="0"/>
                  <w:marBottom w:val="0"/>
                  <w:divBdr>
                    <w:top w:val="none" w:sz="0" w:space="0" w:color="auto"/>
                    <w:left w:val="none" w:sz="0" w:space="0" w:color="auto"/>
                    <w:bottom w:val="none" w:sz="0" w:space="0" w:color="auto"/>
                    <w:right w:val="none" w:sz="0" w:space="0" w:color="auto"/>
                  </w:divBdr>
                  <w:divsChild>
                    <w:div w:id="841823368">
                      <w:marLeft w:val="0"/>
                      <w:marRight w:val="0"/>
                      <w:marTop w:val="0"/>
                      <w:marBottom w:val="0"/>
                      <w:divBdr>
                        <w:top w:val="none" w:sz="0" w:space="0" w:color="auto"/>
                        <w:left w:val="none" w:sz="0" w:space="0" w:color="auto"/>
                        <w:bottom w:val="none" w:sz="0" w:space="0" w:color="auto"/>
                        <w:right w:val="none" w:sz="0" w:space="0" w:color="auto"/>
                      </w:divBdr>
                    </w:div>
                    <w:div w:id="776367621">
                      <w:marLeft w:val="0"/>
                      <w:marRight w:val="0"/>
                      <w:marTop w:val="0"/>
                      <w:marBottom w:val="0"/>
                      <w:divBdr>
                        <w:top w:val="none" w:sz="0" w:space="0" w:color="auto"/>
                        <w:left w:val="none" w:sz="0" w:space="0" w:color="auto"/>
                        <w:bottom w:val="none" w:sz="0" w:space="0" w:color="auto"/>
                        <w:right w:val="none" w:sz="0" w:space="0" w:color="auto"/>
                      </w:divBdr>
                      <w:divsChild>
                        <w:div w:id="1442215628">
                          <w:marLeft w:val="150"/>
                          <w:marRight w:val="210"/>
                          <w:marTop w:val="0"/>
                          <w:marBottom w:val="240"/>
                          <w:divBdr>
                            <w:top w:val="single" w:sz="6" w:space="3" w:color="89B84B"/>
                            <w:left w:val="single" w:sz="6" w:space="3" w:color="89B84B"/>
                            <w:bottom w:val="single" w:sz="6" w:space="3" w:color="89B84B"/>
                            <w:right w:val="single" w:sz="6" w:space="3" w:color="89B84B"/>
                          </w:divBdr>
                        </w:div>
                      </w:divsChild>
                    </w:div>
                  </w:divsChild>
                </w:div>
                <w:div w:id="1663318023">
                  <w:marLeft w:val="0"/>
                  <w:marRight w:val="0"/>
                  <w:marTop w:val="0"/>
                  <w:marBottom w:val="0"/>
                  <w:divBdr>
                    <w:top w:val="none" w:sz="0" w:space="0" w:color="auto"/>
                    <w:left w:val="none" w:sz="0" w:space="0" w:color="auto"/>
                    <w:bottom w:val="none" w:sz="0" w:space="0" w:color="auto"/>
                    <w:right w:val="none" w:sz="0" w:space="0" w:color="auto"/>
                  </w:divBdr>
                  <w:divsChild>
                    <w:div w:id="2137982908">
                      <w:marLeft w:val="0"/>
                      <w:marRight w:val="0"/>
                      <w:marTop w:val="0"/>
                      <w:marBottom w:val="0"/>
                      <w:divBdr>
                        <w:top w:val="none" w:sz="0" w:space="0" w:color="auto"/>
                        <w:left w:val="none" w:sz="0" w:space="0" w:color="auto"/>
                        <w:bottom w:val="none" w:sz="0" w:space="0" w:color="auto"/>
                        <w:right w:val="single" w:sz="6" w:space="0" w:color="FFFFFF"/>
                      </w:divBdr>
                    </w:div>
                    <w:div w:id="965695950">
                      <w:marLeft w:val="0"/>
                      <w:marRight w:val="0"/>
                      <w:marTop w:val="0"/>
                      <w:marBottom w:val="0"/>
                      <w:divBdr>
                        <w:top w:val="none" w:sz="0" w:space="0" w:color="auto"/>
                        <w:left w:val="none" w:sz="0" w:space="0" w:color="auto"/>
                        <w:bottom w:val="none" w:sz="0" w:space="0" w:color="auto"/>
                        <w:right w:val="none" w:sz="0" w:space="0" w:color="auto"/>
                      </w:divBdr>
                    </w:div>
                  </w:divsChild>
                </w:div>
                <w:div w:id="268195735">
                  <w:marLeft w:val="0"/>
                  <w:marRight w:val="0"/>
                  <w:marTop w:val="0"/>
                  <w:marBottom w:val="0"/>
                  <w:divBdr>
                    <w:top w:val="none" w:sz="0" w:space="0" w:color="auto"/>
                    <w:left w:val="none" w:sz="0" w:space="0" w:color="auto"/>
                    <w:bottom w:val="none" w:sz="0" w:space="0" w:color="auto"/>
                    <w:right w:val="none" w:sz="0" w:space="0" w:color="auto"/>
                  </w:divBdr>
                  <w:divsChild>
                    <w:div w:id="94375347">
                      <w:marLeft w:val="0"/>
                      <w:marRight w:val="0"/>
                      <w:marTop w:val="0"/>
                      <w:marBottom w:val="0"/>
                      <w:divBdr>
                        <w:top w:val="none" w:sz="0" w:space="0" w:color="auto"/>
                        <w:left w:val="none" w:sz="0" w:space="0" w:color="auto"/>
                        <w:bottom w:val="none" w:sz="0" w:space="0" w:color="auto"/>
                        <w:right w:val="single" w:sz="6" w:space="0" w:color="FFFFFF"/>
                      </w:divBdr>
                    </w:div>
                  </w:divsChild>
                </w:div>
                <w:div w:id="143620511">
                  <w:marLeft w:val="0"/>
                  <w:marRight w:val="0"/>
                  <w:marTop w:val="0"/>
                  <w:marBottom w:val="0"/>
                  <w:divBdr>
                    <w:top w:val="none" w:sz="0" w:space="0" w:color="auto"/>
                    <w:left w:val="none" w:sz="0" w:space="0" w:color="auto"/>
                    <w:bottom w:val="none" w:sz="0" w:space="0" w:color="auto"/>
                    <w:right w:val="none" w:sz="0" w:space="0" w:color="auto"/>
                  </w:divBdr>
                  <w:divsChild>
                    <w:div w:id="1894003933">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41704619">
      <w:bodyDiv w:val="1"/>
      <w:marLeft w:val="0"/>
      <w:marRight w:val="0"/>
      <w:marTop w:val="0"/>
      <w:marBottom w:val="0"/>
      <w:divBdr>
        <w:top w:val="none" w:sz="0" w:space="0" w:color="auto"/>
        <w:left w:val="none" w:sz="0" w:space="0" w:color="auto"/>
        <w:bottom w:val="none" w:sz="0" w:space="0" w:color="auto"/>
        <w:right w:val="none" w:sz="0" w:space="0" w:color="auto"/>
      </w:divBdr>
    </w:div>
    <w:div w:id="343020832">
      <w:bodyDiv w:val="1"/>
      <w:marLeft w:val="0"/>
      <w:marRight w:val="0"/>
      <w:marTop w:val="0"/>
      <w:marBottom w:val="0"/>
      <w:divBdr>
        <w:top w:val="none" w:sz="0" w:space="0" w:color="auto"/>
        <w:left w:val="none" w:sz="0" w:space="0" w:color="auto"/>
        <w:bottom w:val="none" w:sz="0" w:space="0" w:color="auto"/>
        <w:right w:val="none" w:sz="0" w:space="0" w:color="auto"/>
      </w:divBdr>
      <w:divsChild>
        <w:div w:id="388385341">
          <w:marLeft w:val="0"/>
          <w:marRight w:val="0"/>
          <w:marTop w:val="0"/>
          <w:marBottom w:val="0"/>
          <w:divBdr>
            <w:top w:val="none" w:sz="0" w:space="0" w:color="auto"/>
            <w:left w:val="none" w:sz="0" w:space="0" w:color="auto"/>
            <w:bottom w:val="none" w:sz="0" w:space="0" w:color="auto"/>
            <w:right w:val="none" w:sz="0" w:space="0" w:color="auto"/>
          </w:divBdr>
          <w:divsChild>
            <w:div w:id="32195843">
              <w:marLeft w:val="0"/>
              <w:marRight w:val="0"/>
              <w:marTop w:val="0"/>
              <w:marBottom w:val="0"/>
              <w:divBdr>
                <w:top w:val="none" w:sz="0" w:space="0" w:color="auto"/>
                <w:left w:val="none" w:sz="0" w:space="0" w:color="auto"/>
                <w:bottom w:val="none" w:sz="0" w:space="0" w:color="auto"/>
                <w:right w:val="none" w:sz="0" w:space="0" w:color="auto"/>
              </w:divBdr>
              <w:divsChild>
                <w:div w:id="1862429784">
                  <w:marLeft w:val="0"/>
                  <w:marRight w:val="0"/>
                  <w:marTop w:val="0"/>
                  <w:marBottom w:val="0"/>
                  <w:divBdr>
                    <w:top w:val="none" w:sz="0" w:space="0" w:color="auto"/>
                    <w:left w:val="none" w:sz="0" w:space="0" w:color="auto"/>
                    <w:bottom w:val="none" w:sz="0" w:space="0" w:color="auto"/>
                    <w:right w:val="none" w:sz="0" w:space="0" w:color="auto"/>
                  </w:divBdr>
                  <w:divsChild>
                    <w:div w:id="1249190565">
                      <w:marLeft w:val="0"/>
                      <w:marRight w:val="0"/>
                      <w:marTop w:val="0"/>
                      <w:marBottom w:val="0"/>
                      <w:divBdr>
                        <w:top w:val="none" w:sz="0" w:space="0" w:color="auto"/>
                        <w:left w:val="none" w:sz="0" w:space="0" w:color="auto"/>
                        <w:bottom w:val="none" w:sz="0" w:space="0" w:color="auto"/>
                        <w:right w:val="none" w:sz="0" w:space="0" w:color="auto"/>
                      </w:divBdr>
                      <w:divsChild>
                        <w:div w:id="1574268467">
                          <w:marLeft w:val="0"/>
                          <w:marRight w:val="0"/>
                          <w:marTop w:val="0"/>
                          <w:marBottom w:val="0"/>
                          <w:divBdr>
                            <w:top w:val="none" w:sz="0" w:space="0" w:color="auto"/>
                            <w:left w:val="none" w:sz="0" w:space="0" w:color="auto"/>
                            <w:bottom w:val="none" w:sz="0" w:space="0" w:color="auto"/>
                            <w:right w:val="none" w:sz="0" w:space="0" w:color="auto"/>
                          </w:divBdr>
                          <w:divsChild>
                            <w:div w:id="1691377009">
                              <w:marLeft w:val="0"/>
                              <w:marRight w:val="0"/>
                              <w:marTop w:val="0"/>
                              <w:marBottom w:val="0"/>
                              <w:divBdr>
                                <w:top w:val="none" w:sz="0" w:space="0" w:color="auto"/>
                                <w:left w:val="none" w:sz="0" w:space="0" w:color="auto"/>
                                <w:bottom w:val="none" w:sz="0" w:space="0" w:color="auto"/>
                                <w:right w:val="none" w:sz="0" w:space="0" w:color="auto"/>
                              </w:divBdr>
                              <w:divsChild>
                                <w:div w:id="434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319673">
      <w:bodyDiv w:val="1"/>
      <w:marLeft w:val="0"/>
      <w:marRight w:val="0"/>
      <w:marTop w:val="0"/>
      <w:marBottom w:val="0"/>
      <w:divBdr>
        <w:top w:val="none" w:sz="0" w:space="0" w:color="auto"/>
        <w:left w:val="none" w:sz="0" w:space="0" w:color="auto"/>
        <w:bottom w:val="none" w:sz="0" w:space="0" w:color="auto"/>
        <w:right w:val="none" w:sz="0" w:space="0" w:color="auto"/>
      </w:divBdr>
    </w:div>
    <w:div w:id="639069488">
      <w:bodyDiv w:val="1"/>
      <w:marLeft w:val="0"/>
      <w:marRight w:val="0"/>
      <w:marTop w:val="0"/>
      <w:marBottom w:val="0"/>
      <w:divBdr>
        <w:top w:val="none" w:sz="0" w:space="0" w:color="auto"/>
        <w:left w:val="none" w:sz="0" w:space="0" w:color="auto"/>
        <w:bottom w:val="none" w:sz="0" w:space="0" w:color="auto"/>
        <w:right w:val="none" w:sz="0" w:space="0" w:color="auto"/>
      </w:divBdr>
    </w:div>
    <w:div w:id="707144555">
      <w:bodyDiv w:val="1"/>
      <w:marLeft w:val="0"/>
      <w:marRight w:val="0"/>
      <w:marTop w:val="0"/>
      <w:marBottom w:val="0"/>
      <w:divBdr>
        <w:top w:val="none" w:sz="0" w:space="0" w:color="auto"/>
        <w:left w:val="none" w:sz="0" w:space="0" w:color="auto"/>
        <w:bottom w:val="none" w:sz="0" w:space="0" w:color="auto"/>
        <w:right w:val="none" w:sz="0" w:space="0" w:color="auto"/>
      </w:divBdr>
    </w:div>
    <w:div w:id="1445003685">
      <w:bodyDiv w:val="1"/>
      <w:marLeft w:val="0"/>
      <w:marRight w:val="0"/>
      <w:marTop w:val="0"/>
      <w:marBottom w:val="0"/>
      <w:divBdr>
        <w:top w:val="none" w:sz="0" w:space="0" w:color="auto"/>
        <w:left w:val="none" w:sz="0" w:space="0" w:color="auto"/>
        <w:bottom w:val="none" w:sz="0" w:space="0" w:color="auto"/>
        <w:right w:val="none" w:sz="0" w:space="0" w:color="auto"/>
      </w:divBdr>
    </w:div>
    <w:div w:id="156101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5487</Words>
  <Characters>31280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2019-12-10T17:16:00Z</cp:lastPrinted>
  <dcterms:created xsi:type="dcterms:W3CDTF">2021-05-24T16:16:00Z</dcterms:created>
  <dcterms:modified xsi:type="dcterms:W3CDTF">2021-05-24T16:16:00Z</dcterms:modified>
</cp:coreProperties>
</file>