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E91F" w14:textId="77777777" w:rsidR="00BD16B5" w:rsidRDefault="000373BB" w:rsidP="00BD16B5">
      <w:pPr>
        <w:jc w:val="center"/>
        <w:rPr>
          <w:b/>
          <w:sz w:val="32"/>
          <w:szCs w:val="32"/>
        </w:rPr>
      </w:pPr>
      <w:bookmarkStart w:id="0" w:name="_GoBack"/>
      <w:bookmarkEnd w:id="0"/>
      <w:r w:rsidRPr="002E5D97">
        <w:rPr>
          <w:noProof/>
          <w:lang w:eastAsia="en-IE"/>
        </w:rPr>
        <w:drawing>
          <wp:inline distT="0" distB="0" distL="0" distR="0" wp14:anchorId="05C82E19" wp14:editId="6B9D33A5">
            <wp:extent cx="1666875" cy="12848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449" cy="1313846"/>
                    </a:xfrm>
                    <a:prstGeom prst="rect">
                      <a:avLst/>
                    </a:prstGeom>
                  </pic:spPr>
                </pic:pic>
              </a:graphicData>
            </a:graphic>
          </wp:inline>
        </w:drawing>
      </w:r>
    </w:p>
    <w:p w14:paraId="1D181CE9" w14:textId="41996AFD"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0007629A">
        <w:rPr>
          <w:b/>
          <w:sz w:val="32"/>
          <w:szCs w:val="32"/>
        </w:rPr>
        <w:t>r</w:t>
      </w:r>
      <w:r w:rsidRPr="005160BD">
        <w:rPr>
          <w:b/>
          <w:sz w:val="32"/>
          <w:szCs w:val="32"/>
        </w:rPr>
        <w:t xml:space="preserve">esponse to </w:t>
      </w:r>
      <w:r w:rsidR="00BE5ADF">
        <w:rPr>
          <w:b/>
          <w:sz w:val="32"/>
          <w:szCs w:val="32"/>
        </w:rPr>
        <w:t xml:space="preserve">the </w:t>
      </w:r>
      <w:r w:rsidR="000373BB">
        <w:rPr>
          <w:b/>
          <w:sz w:val="32"/>
          <w:szCs w:val="32"/>
        </w:rPr>
        <w:t>call for submission</w:t>
      </w:r>
      <w:r w:rsidR="002F5110">
        <w:rPr>
          <w:b/>
          <w:sz w:val="32"/>
          <w:szCs w:val="32"/>
        </w:rPr>
        <w:t>s</w:t>
      </w:r>
      <w:r w:rsidR="000373BB">
        <w:rPr>
          <w:b/>
          <w:sz w:val="32"/>
          <w:szCs w:val="32"/>
        </w:rPr>
        <w:t xml:space="preserve"> by the Department of Education and Skills </w:t>
      </w:r>
      <w:r w:rsidR="008C1AAB">
        <w:rPr>
          <w:b/>
          <w:sz w:val="32"/>
          <w:szCs w:val="32"/>
        </w:rPr>
        <w:t xml:space="preserve">(DES) </w:t>
      </w:r>
      <w:r w:rsidR="000373BB">
        <w:rPr>
          <w:b/>
          <w:sz w:val="32"/>
          <w:szCs w:val="32"/>
        </w:rPr>
        <w:t xml:space="preserve">on the </w:t>
      </w:r>
      <w:r w:rsidR="00405AA8">
        <w:rPr>
          <w:b/>
          <w:sz w:val="32"/>
          <w:szCs w:val="32"/>
        </w:rPr>
        <w:t>review of the teacher refund scheme</w:t>
      </w:r>
      <w:r w:rsidR="00B80181">
        <w:rPr>
          <w:b/>
          <w:sz w:val="32"/>
          <w:szCs w:val="32"/>
        </w:rPr>
        <w:t>.</w:t>
      </w:r>
    </w:p>
    <w:p w14:paraId="4119D788" w14:textId="6A00D00D" w:rsidR="00A12494" w:rsidRPr="005160BD" w:rsidRDefault="00A12494" w:rsidP="00BD16B5">
      <w:pPr>
        <w:jc w:val="center"/>
        <w:rPr>
          <w:b/>
          <w:sz w:val="32"/>
          <w:szCs w:val="32"/>
        </w:rPr>
      </w:pPr>
      <w:r w:rsidRPr="005160BD">
        <w:rPr>
          <w:b/>
          <w:sz w:val="32"/>
          <w:szCs w:val="32"/>
        </w:rPr>
        <w:t>(</w:t>
      </w:r>
      <w:r w:rsidR="00405AA8">
        <w:rPr>
          <w:b/>
          <w:sz w:val="32"/>
          <w:szCs w:val="32"/>
        </w:rPr>
        <w:t>August</w:t>
      </w:r>
      <w:r w:rsidR="00015A69">
        <w:rPr>
          <w:b/>
          <w:sz w:val="32"/>
          <w:szCs w:val="32"/>
        </w:rPr>
        <w:t xml:space="preserve"> 2019</w:t>
      </w:r>
      <w:r w:rsidRPr="005160BD">
        <w:rPr>
          <w:b/>
          <w:sz w:val="32"/>
          <w:szCs w:val="32"/>
        </w:rPr>
        <w:t>)</w:t>
      </w:r>
    </w:p>
    <w:p w14:paraId="00AA2CA6" w14:textId="10F24C74" w:rsidR="00F0172A" w:rsidRPr="00B90F37" w:rsidRDefault="001542F7" w:rsidP="00405AA8">
      <w:pPr>
        <w:spacing w:after="0" w:line="360" w:lineRule="auto"/>
        <w:jc w:val="both"/>
        <w:rPr>
          <w:sz w:val="24"/>
          <w:szCs w:val="24"/>
        </w:rPr>
      </w:pPr>
      <w:r w:rsidRPr="007D7C46">
        <w:rPr>
          <w:sz w:val="24"/>
          <w:szCs w:val="24"/>
        </w:rPr>
        <w:t xml:space="preserve">The </w:t>
      </w:r>
      <w:r w:rsidR="008C1AAB" w:rsidRPr="007D7C46">
        <w:rPr>
          <w:sz w:val="24"/>
          <w:szCs w:val="24"/>
        </w:rPr>
        <w:t>TUI represents teachers</w:t>
      </w:r>
      <w:r w:rsidRPr="007D7C46">
        <w:rPr>
          <w:sz w:val="24"/>
          <w:szCs w:val="24"/>
        </w:rPr>
        <w:t>, l</w:t>
      </w:r>
      <w:r w:rsidR="000F61E9" w:rsidRPr="007D7C46">
        <w:rPr>
          <w:sz w:val="24"/>
          <w:szCs w:val="24"/>
        </w:rPr>
        <w:t>ecturers and staff in out of school services (18</w:t>
      </w:r>
      <w:r w:rsidR="00196E79" w:rsidRPr="007D7C46">
        <w:rPr>
          <w:sz w:val="24"/>
          <w:szCs w:val="24"/>
        </w:rPr>
        <w:t>,000+) employed by Education and Training Boards (ETBs)</w:t>
      </w:r>
      <w:r w:rsidR="000F61E9" w:rsidRPr="007D7C46">
        <w:rPr>
          <w:sz w:val="24"/>
          <w:szCs w:val="24"/>
        </w:rPr>
        <w:t xml:space="preserve">, voluntary secondary schools, </w:t>
      </w:r>
      <w:r w:rsidR="00196E79" w:rsidRPr="007D7C46">
        <w:rPr>
          <w:sz w:val="24"/>
          <w:szCs w:val="24"/>
        </w:rPr>
        <w:t>Com</w:t>
      </w:r>
      <w:r w:rsidR="001843B1" w:rsidRPr="007D7C46">
        <w:rPr>
          <w:sz w:val="24"/>
          <w:szCs w:val="24"/>
        </w:rPr>
        <w:t>munity and Comprehensive (C&amp;C) s</w:t>
      </w:r>
      <w:r w:rsidR="00196E79" w:rsidRPr="007D7C46">
        <w:rPr>
          <w:sz w:val="24"/>
          <w:szCs w:val="24"/>
        </w:rPr>
        <w:t>chools</w:t>
      </w:r>
      <w:r w:rsidR="000F61E9" w:rsidRPr="007D7C46">
        <w:rPr>
          <w:sz w:val="24"/>
          <w:szCs w:val="24"/>
        </w:rPr>
        <w:t xml:space="preserve">, </w:t>
      </w:r>
      <w:proofErr w:type="spellStart"/>
      <w:r w:rsidR="000F61E9" w:rsidRPr="007D7C46">
        <w:rPr>
          <w:sz w:val="24"/>
          <w:szCs w:val="24"/>
        </w:rPr>
        <w:t>Youthreach</w:t>
      </w:r>
      <w:proofErr w:type="spellEnd"/>
      <w:r w:rsidR="00B85E6A">
        <w:rPr>
          <w:sz w:val="24"/>
          <w:szCs w:val="24"/>
        </w:rPr>
        <w:t>, Technological Universities and the</w:t>
      </w:r>
      <w:r w:rsidR="000F61E9" w:rsidRPr="007D7C46">
        <w:rPr>
          <w:sz w:val="24"/>
          <w:szCs w:val="24"/>
        </w:rPr>
        <w:t xml:space="preserve"> institutes of technology</w:t>
      </w:r>
      <w:r w:rsidR="00196E79" w:rsidRPr="007D7C46">
        <w:rPr>
          <w:sz w:val="24"/>
          <w:szCs w:val="24"/>
        </w:rPr>
        <w:t xml:space="preserve">. </w:t>
      </w:r>
    </w:p>
    <w:p w14:paraId="1B7F7A81" w14:textId="77777777" w:rsidR="00196E79" w:rsidRPr="007D7C46" w:rsidRDefault="00196E79" w:rsidP="007D7C46">
      <w:pPr>
        <w:spacing w:line="360" w:lineRule="auto"/>
        <w:jc w:val="both"/>
        <w:rPr>
          <w:sz w:val="24"/>
          <w:szCs w:val="24"/>
        </w:rPr>
      </w:pPr>
    </w:p>
    <w:p w14:paraId="048B6210" w14:textId="77777777" w:rsidR="008457C5" w:rsidRPr="00B80181" w:rsidRDefault="008457C5" w:rsidP="007D7C46">
      <w:pPr>
        <w:spacing w:line="360" w:lineRule="auto"/>
        <w:jc w:val="both"/>
        <w:rPr>
          <w:rFonts w:eastAsiaTheme="majorEastAsia" w:cstheme="majorBidi"/>
          <w:b/>
          <w:bCs/>
          <w:sz w:val="28"/>
          <w:szCs w:val="28"/>
          <w:u w:val="single"/>
        </w:rPr>
      </w:pPr>
      <w:r w:rsidRPr="00B80181">
        <w:rPr>
          <w:rFonts w:eastAsiaTheme="majorEastAsia" w:cstheme="majorBidi"/>
          <w:b/>
          <w:bCs/>
          <w:sz w:val="28"/>
          <w:szCs w:val="28"/>
          <w:u w:val="single"/>
        </w:rPr>
        <w:t>Background</w:t>
      </w:r>
    </w:p>
    <w:p w14:paraId="723DAB75" w14:textId="1F5515BE" w:rsidR="00383C04" w:rsidRPr="00383C04" w:rsidRDefault="00383C04" w:rsidP="00383C04">
      <w:pPr>
        <w:spacing w:line="360" w:lineRule="auto"/>
        <w:jc w:val="both"/>
        <w:rPr>
          <w:sz w:val="24"/>
          <w:szCs w:val="24"/>
        </w:rPr>
      </w:pPr>
      <w:r w:rsidRPr="00383C04">
        <w:rPr>
          <w:sz w:val="24"/>
          <w:szCs w:val="24"/>
        </w:rPr>
        <w:t>Ireland has an internationally acknowledged, high-</w:t>
      </w:r>
      <w:bookmarkStart w:id="1" w:name="_Hlk502824748"/>
      <w:r w:rsidRPr="00383C04">
        <w:rPr>
          <w:sz w:val="24"/>
          <w:szCs w:val="24"/>
        </w:rPr>
        <w:t>performing education system and respected teaching profession (Teaching Council, 2010; OECD, 2013; DES, 2018a; OECD, 2015a; OECD, 2009; NAP</w:t>
      </w:r>
      <w:r w:rsidR="0089023E">
        <w:rPr>
          <w:sz w:val="24"/>
          <w:szCs w:val="24"/>
        </w:rPr>
        <w:t xml:space="preserve">D, 2016; </w:t>
      </w:r>
      <w:proofErr w:type="spellStart"/>
      <w:r w:rsidR="0089023E">
        <w:rPr>
          <w:sz w:val="24"/>
          <w:szCs w:val="24"/>
        </w:rPr>
        <w:t>Comhairle</w:t>
      </w:r>
      <w:proofErr w:type="spellEnd"/>
      <w:r w:rsidR="0089023E">
        <w:rPr>
          <w:sz w:val="24"/>
          <w:szCs w:val="24"/>
        </w:rPr>
        <w:t xml:space="preserve"> </w:t>
      </w:r>
      <w:proofErr w:type="spellStart"/>
      <w:r w:rsidR="0089023E">
        <w:rPr>
          <w:sz w:val="24"/>
          <w:szCs w:val="24"/>
        </w:rPr>
        <w:t>na</w:t>
      </w:r>
      <w:proofErr w:type="spellEnd"/>
      <w:r w:rsidR="0089023E">
        <w:rPr>
          <w:sz w:val="24"/>
          <w:szCs w:val="24"/>
        </w:rPr>
        <w:t xml:space="preserve"> </w:t>
      </w:r>
      <w:proofErr w:type="spellStart"/>
      <w:r w:rsidR="0089023E">
        <w:rPr>
          <w:sz w:val="24"/>
          <w:szCs w:val="24"/>
        </w:rPr>
        <w:t>nOg</w:t>
      </w:r>
      <w:proofErr w:type="spellEnd"/>
      <w:r w:rsidR="0089023E">
        <w:rPr>
          <w:sz w:val="24"/>
          <w:szCs w:val="24"/>
        </w:rPr>
        <w:t>, 2017; Growing Up in Ireland, 2017;</w:t>
      </w:r>
      <w:r w:rsidRPr="00383C04">
        <w:rPr>
          <w:sz w:val="24"/>
          <w:szCs w:val="24"/>
        </w:rPr>
        <w:t xml:space="preserve"> IPSOS MRBI Trust in the Profes</w:t>
      </w:r>
      <w:r w:rsidR="0089023E">
        <w:rPr>
          <w:sz w:val="24"/>
          <w:szCs w:val="24"/>
        </w:rPr>
        <w:t>sions Survey, 2017; Boyle, 2017;</w:t>
      </w:r>
      <w:r w:rsidRPr="00383C04">
        <w:rPr>
          <w:sz w:val="24"/>
          <w:szCs w:val="24"/>
        </w:rPr>
        <w:t xml:space="preserve"> Scanlon &amp; McKenna, 2018; EU </w:t>
      </w:r>
      <w:r w:rsidR="0089023E">
        <w:rPr>
          <w:sz w:val="24"/>
          <w:szCs w:val="24"/>
        </w:rPr>
        <w:t>Commission/EACEA/Eurydice, 2018;</w:t>
      </w:r>
      <w:r w:rsidRPr="00383C04">
        <w:rPr>
          <w:sz w:val="24"/>
          <w:szCs w:val="24"/>
        </w:rPr>
        <w:t xml:space="preserve"> Kantar Millward Brown, 2018</w:t>
      </w:r>
      <w:r w:rsidR="0089023E">
        <w:rPr>
          <w:sz w:val="24"/>
          <w:szCs w:val="24"/>
        </w:rPr>
        <w:t>;</w:t>
      </w:r>
      <w:r w:rsidR="00476435">
        <w:rPr>
          <w:sz w:val="24"/>
          <w:szCs w:val="24"/>
        </w:rPr>
        <w:t xml:space="preserve"> Social Progress Initiative</w:t>
      </w:r>
      <w:r w:rsidR="00C570F1">
        <w:rPr>
          <w:sz w:val="24"/>
          <w:szCs w:val="24"/>
        </w:rPr>
        <w:t>, 2018</w:t>
      </w:r>
      <w:r w:rsidR="0089023E">
        <w:rPr>
          <w:sz w:val="24"/>
          <w:szCs w:val="24"/>
        </w:rPr>
        <w:t>; EU Commission, 2018</w:t>
      </w:r>
      <w:r w:rsidR="00A14C57">
        <w:rPr>
          <w:sz w:val="24"/>
          <w:szCs w:val="24"/>
        </w:rPr>
        <w:t xml:space="preserve">; </w:t>
      </w:r>
      <w:r w:rsidR="00D05374">
        <w:rPr>
          <w:sz w:val="24"/>
          <w:szCs w:val="24"/>
        </w:rPr>
        <w:t xml:space="preserve">EU Commission, 2019; </w:t>
      </w:r>
      <w:r w:rsidR="00A14C57">
        <w:rPr>
          <w:sz w:val="24"/>
          <w:szCs w:val="24"/>
        </w:rPr>
        <w:t>United Nations Development Programme, 2018</w:t>
      </w:r>
      <w:r w:rsidR="00342095">
        <w:rPr>
          <w:sz w:val="24"/>
          <w:szCs w:val="24"/>
        </w:rPr>
        <w:t xml:space="preserve">; </w:t>
      </w:r>
      <w:r w:rsidR="00342095">
        <w:rPr>
          <w:rFonts w:eastAsia="BrandonGrotesque-Regular" w:cs="Arial"/>
          <w:sz w:val="24"/>
          <w:szCs w:val="24"/>
        </w:rPr>
        <w:t>Irish Survey of Student Engagement 2018</w:t>
      </w:r>
      <w:r w:rsidR="00D077AC">
        <w:rPr>
          <w:sz w:val="24"/>
          <w:szCs w:val="24"/>
        </w:rPr>
        <w:t>; Growing Up in Ireland, 2018</w:t>
      </w:r>
      <w:r w:rsidRPr="00383C04">
        <w:rPr>
          <w:sz w:val="24"/>
          <w:szCs w:val="24"/>
        </w:rPr>
        <w:t>) despite spending relatively little on education (OECD, 2015</w:t>
      </w:r>
      <w:bookmarkEnd w:id="1"/>
      <w:r w:rsidRPr="00383C04">
        <w:rPr>
          <w:sz w:val="24"/>
          <w:szCs w:val="24"/>
        </w:rPr>
        <w:t>b; SJI, 2018, NERI, 2018) and historic underinvestment (DES, 2018b).</w:t>
      </w:r>
      <w:r w:rsidR="00B47744">
        <w:rPr>
          <w:sz w:val="24"/>
          <w:szCs w:val="24"/>
        </w:rPr>
        <w:t xml:space="preserve">  </w:t>
      </w:r>
      <w:bookmarkStart w:id="2" w:name="_Hlk531297986"/>
      <w:proofErr w:type="gramStart"/>
      <w:r w:rsidR="00B47744">
        <w:rPr>
          <w:sz w:val="24"/>
          <w:szCs w:val="24"/>
        </w:rPr>
        <w:t>Indeed</w:t>
      </w:r>
      <w:proofErr w:type="gramEnd"/>
      <w:r w:rsidR="00B47744">
        <w:rPr>
          <w:sz w:val="24"/>
          <w:szCs w:val="24"/>
        </w:rPr>
        <w:t xml:space="preserve"> citizen satisfaction with the education system in Ireland is the highest of any of 22 European countries studied (Boyle, 2018).</w:t>
      </w:r>
      <w:bookmarkEnd w:id="2"/>
    </w:p>
    <w:p w14:paraId="481BBA70" w14:textId="77777777" w:rsidR="007E46FA" w:rsidRDefault="007E46FA" w:rsidP="00696401">
      <w:pPr>
        <w:autoSpaceDE w:val="0"/>
        <w:autoSpaceDN w:val="0"/>
        <w:adjustRightInd w:val="0"/>
        <w:spacing w:after="0" w:line="360" w:lineRule="auto"/>
        <w:rPr>
          <w:rFonts w:cs="Arial"/>
          <w:sz w:val="24"/>
          <w:szCs w:val="24"/>
        </w:rPr>
      </w:pPr>
    </w:p>
    <w:p w14:paraId="6ACC3ECA" w14:textId="15035179" w:rsidR="00207614" w:rsidRPr="007D7C46" w:rsidRDefault="00207614" w:rsidP="007D7C46">
      <w:pPr>
        <w:spacing w:line="360" w:lineRule="auto"/>
        <w:jc w:val="both"/>
        <w:rPr>
          <w:sz w:val="24"/>
          <w:szCs w:val="24"/>
        </w:rPr>
      </w:pPr>
      <w:r w:rsidRPr="007D7C46">
        <w:rPr>
          <w:sz w:val="24"/>
          <w:szCs w:val="24"/>
        </w:rPr>
        <w:t xml:space="preserve">Ireland has a very </w:t>
      </w:r>
      <w:r w:rsidR="00AC6DA7">
        <w:rPr>
          <w:sz w:val="24"/>
          <w:szCs w:val="24"/>
        </w:rPr>
        <w:t>young population (Eurostat, 2015</w:t>
      </w:r>
      <w:r w:rsidRPr="007D7C46">
        <w:rPr>
          <w:sz w:val="24"/>
          <w:szCs w:val="24"/>
        </w:rPr>
        <w:t xml:space="preserve">).  In 2008, we had the second highest proportion of </w:t>
      </w:r>
      <w:r w:rsidR="00B80181" w:rsidRPr="007D7C46">
        <w:rPr>
          <w:sz w:val="24"/>
          <w:szCs w:val="24"/>
        </w:rPr>
        <w:t>10-14-year</w:t>
      </w:r>
      <w:r w:rsidRPr="007D7C46">
        <w:rPr>
          <w:sz w:val="24"/>
          <w:szCs w:val="24"/>
        </w:rPr>
        <w:t xml:space="preserve"> olds in the European Union (CSO, 2009).  The high </w:t>
      </w:r>
      <w:r w:rsidR="00C2074B" w:rsidRPr="007D7C46">
        <w:rPr>
          <w:sz w:val="24"/>
          <w:szCs w:val="24"/>
        </w:rPr>
        <w:t>birth rate in Ireland (CSO, 2017; Eurostat, 2017</w:t>
      </w:r>
      <w:r w:rsidRPr="007D7C46">
        <w:rPr>
          <w:sz w:val="24"/>
          <w:szCs w:val="24"/>
        </w:rPr>
        <w:t xml:space="preserve">) indicates that the population of young people is likely to remain high for the foreseeable future.  </w:t>
      </w:r>
      <w:r w:rsidR="005B289F" w:rsidRPr="007D7C46">
        <w:rPr>
          <w:sz w:val="24"/>
          <w:szCs w:val="24"/>
        </w:rPr>
        <w:t xml:space="preserve">The </w:t>
      </w:r>
      <w:r w:rsidRPr="007D7C46">
        <w:rPr>
          <w:sz w:val="24"/>
          <w:szCs w:val="24"/>
        </w:rPr>
        <w:t>DES (20</w:t>
      </w:r>
      <w:r w:rsidR="00A04C74">
        <w:rPr>
          <w:sz w:val="24"/>
          <w:szCs w:val="24"/>
        </w:rPr>
        <w:t>12, 2017</w:t>
      </w:r>
      <w:r w:rsidRPr="007D7C46">
        <w:rPr>
          <w:sz w:val="24"/>
          <w:szCs w:val="24"/>
        </w:rPr>
        <w:t xml:space="preserve">) suggests that the number of </w:t>
      </w:r>
      <w:r w:rsidRPr="007D7C46">
        <w:rPr>
          <w:sz w:val="24"/>
          <w:szCs w:val="24"/>
        </w:rPr>
        <w:lastRenderedPageBreak/>
        <w:t>students in the prima</w:t>
      </w:r>
      <w:r w:rsidR="00C43B5E" w:rsidRPr="007D7C46">
        <w:rPr>
          <w:sz w:val="24"/>
          <w:szCs w:val="24"/>
        </w:rPr>
        <w:t>ry school system will rise by forty-nine thousand (516,460 to 565,696)</w:t>
      </w:r>
      <w:r w:rsidRPr="007D7C46">
        <w:rPr>
          <w:sz w:val="24"/>
          <w:szCs w:val="24"/>
        </w:rPr>
        <w:t xml:space="preserve"> </w:t>
      </w:r>
      <w:r w:rsidR="00AC6DA7">
        <w:rPr>
          <w:sz w:val="24"/>
          <w:szCs w:val="24"/>
        </w:rPr>
        <w:t>between</w:t>
      </w:r>
      <w:r w:rsidR="00C43B5E" w:rsidRPr="007D7C46">
        <w:rPr>
          <w:sz w:val="24"/>
          <w:szCs w:val="24"/>
        </w:rPr>
        <w:t xml:space="preserve"> 2011</w:t>
      </w:r>
      <w:r w:rsidR="008C7075" w:rsidRPr="007D7C46">
        <w:rPr>
          <w:sz w:val="24"/>
          <w:szCs w:val="24"/>
        </w:rPr>
        <w:t xml:space="preserve"> </w:t>
      </w:r>
      <w:r w:rsidR="00AC6DA7">
        <w:rPr>
          <w:sz w:val="24"/>
          <w:szCs w:val="24"/>
        </w:rPr>
        <w:t>and</w:t>
      </w:r>
      <w:r w:rsidRPr="007D7C46">
        <w:rPr>
          <w:sz w:val="24"/>
          <w:szCs w:val="24"/>
        </w:rPr>
        <w:t xml:space="preserve"> 2019 and by </w:t>
      </w:r>
      <w:r w:rsidR="00C43B5E" w:rsidRPr="007D7C46">
        <w:rPr>
          <w:sz w:val="24"/>
          <w:szCs w:val="24"/>
        </w:rPr>
        <w:t>almost one hundred</w:t>
      </w:r>
      <w:r w:rsidR="008C7075" w:rsidRPr="007D7C46">
        <w:rPr>
          <w:sz w:val="24"/>
          <w:szCs w:val="24"/>
        </w:rPr>
        <w:t xml:space="preserve"> thousand</w:t>
      </w:r>
      <w:r w:rsidRPr="007D7C46">
        <w:rPr>
          <w:sz w:val="24"/>
          <w:szCs w:val="24"/>
        </w:rPr>
        <w:t xml:space="preserve"> in second level </w:t>
      </w:r>
      <w:r w:rsidR="00AC6DA7">
        <w:rPr>
          <w:sz w:val="24"/>
          <w:szCs w:val="24"/>
        </w:rPr>
        <w:t>between</w:t>
      </w:r>
      <w:r w:rsidR="00C43B5E" w:rsidRPr="007D7C46">
        <w:rPr>
          <w:sz w:val="24"/>
          <w:szCs w:val="24"/>
        </w:rPr>
        <w:t xml:space="preserve"> 2011</w:t>
      </w:r>
      <w:r w:rsidR="008C7075" w:rsidRPr="007D7C46">
        <w:rPr>
          <w:sz w:val="24"/>
          <w:szCs w:val="24"/>
        </w:rPr>
        <w:t xml:space="preserve"> </w:t>
      </w:r>
      <w:r w:rsidR="00AC6DA7">
        <w:rPr>
          <w:sz w:val="24"/>
          <w:szCs w:val="24"/>
        </w:rPr>
        <w:t>and</w:t>
      </w:r>
      <w:r w:rsidR="00C43B5E" w:rsidRPr="007D7C46">
        <w:rPr>
          <w:sz w:val="24"/>
          <w:szCs w:val="24"/>
        </w:rPr>
        <w:t xml:space="preserve"> 2025 (322,528 to 416,897)</w:t>
      </w:r>
      <w:r w:rsidRPr="007D7C46">
        <w:rPr>
          <w:sz w:val="24"/>
          <w:szCs w:val="24"/>
        </w:rPr>
        <w:t xml:space="preserve">.  In this context, it is not sufficient to suggest that a world-class </w:t>
      </w:r>
      <w:r w:rsidR="00FE6A22" w:rsidRPr="007D7C46">
        <w:rPr>
          <w:sz w:val="24"/>
          <w:szCs w:val="24"/>
        </w:rPr>
        <w:t>out of school support system</w:t>
      </w:r>
      <w:r w:rsidRPr="007D7C46">
        <w:rPr>
          <w:sz w:val="24"/>
          <w:szCs w:val="24"/>
        </w:rPr>
        <w:t xml:space="preserve"> can be </w:t>
      </w:r>
      <w:r w:rsidR="00FE6A22" w:rsidRPr="007D7C46">
        <w:rPr>
          <w:sz w:val="24"/>
          <w:szCs w:val="24"/>
        </w:rPr>
        <w:t>sustained</w:t>
      </w:r>
      <w:r w:rsidRPr="007D7C46">
        <w:rPr>
          <w:sz w:val="24"/>
          <w:szCs w:val="24"/>
        </w:rPr>
        <w:t xml:space="preserve"> with inadequate resources of time, money or personnel.</w:t>
      </w:r>
      <w:r w:rsidR="004B21D7" w:rsidRPr="007D7C46">
        <w:rPr>
          <w:rFonts w:cs="Arial"/>
          <w:color w:val="000000"/>
          <w:sz w:val="24"/>
          <w:szCs w:val="24"/>
        </w:rPr>
        <w:t xml:space="preserve">  </w:t>
      </w:r>
      <w:r w:rsidR="00405AA8">
        <w:rPr>
          <w:rFonts w:cs="Arial"/>
          <w:color w:val="000000"/>
          <w:sz w:val="24"/>
          <w:szCs w:val="24"/>
        </w:rPr>
        <w:t xml:space="preserve">Pre-service and in-service </w:t>
      </w:r>
      <w:r w:rsidR="00C96787">
        <w:rPr>
          <w:rFonts w:cs="Arial"/>
          <w:color w:val="000000"/>
          <w:sz w:val="24"/>
          <w:szCs w:val="24"/>
        </w:rPr>
        <w:t>education</w:t>
      </w:r>
      <w:r w:rsidR="00405AA8">
        <w:rPr>
          <w:rFonts w:cs="Arial"/>
          <w:color w:val="000000"/>
          <w:sz w:val="24"/>
          <w:szCs w:val="24"/>
        </w:rPr>
        <w:t xml:space="preserve"> should be available to teachers who wish to avail of it.  Such </w:t>
      </w:r>
      <w:r w:rsidR="00C96787">
        <w:rPr>
          <w:rFonts w:cs="Arial"/>
          <w:color w:val="000000"/>
          <w:sz w:val="24"/>
          <w:szCs w:val="24"/>
        </w:rPr>
        <w:t>education</w:t>
      </w:r>
      <w:r w:rsidR="00405AA8">
        <w:rPr>
          <w:rFonts w:cs="Arial"/>
          <w:color w:val="000000"/>
          <w:sz w:val="24"/>
          <w:szCs w:val="24"/>
        </w:rPr>
        <w:t xml:space="preserve"> should not place a burden on teachers, either in terms of time or money.</w:t>
      </w:r>
    </w:p>
    <w:p w14:paraId="3891BEFF" w14:textId="77777777" w:rsidR="00207614" w:rsidRPr="007D7C46" w:rsidRDefault="00207614" w:rsidP="007D7C46">
      <w:pPr>
        <w:spacing w:line="360" w:lineRule="auto"/>
        <w:jc w:val="both"/>
        <w:rPr>
          <w:sz w:val="24"/>
          <w:szCs w:val="24"/>
        </w:rPr>
      </w:pPr>
    </w:p>
    <w:p w14:paraId="58B2E432" w14:textId="61B4E3FC" w:rsidR="00BF1F56" w:rsidRPr="00B80181" w:rsidRDefault="00405AA8" w:rsidP="00BF1F56">
      <w:pPr>
        <w:spacing w:line="360" w:lineRule="auto"/>
        <w:jc w:val="both"/>
        <w:rPr>
          <w:rFonts w:eastAsia="ArialMT" w:cs="Arial"/>
          <w:b/>
          <w:sz w:val="28"/>
          <w:szCs w:val="28"/>
          <w:u w:val="single"/>
        </w:rPr>
      </w:pPr>
      <w:r>
        <w:rPr>
          <w:rFonts w:eastAsia="ArialMT" w:cs="Arial"/>
          <w:b/>
          <w:sz w:val="28"/>
          <w:szCs w:val="28"/>
          <w:u w:val="single"/>
        </w:rPr>
        <w:t>Fee Refund Scheme and Associated Issues</w:t>
      </w:r>
    </w:p>
    <w:p w14:paraId="4990B5B0" w14:textId="43384465" w:rsidR="00376762" w:rsidRDefault="00376762" w:rsidP="00376762">
      <w:pPr>
        <w:spacing w:line="360" w:lineRule="auto"/>
        <w:jc w:val="both"/>
      </w:pPr>
      <w:r>
        <w:rPr>
          <w:sz w:val="24"/>
          <w:szCs w:val="24"/>
        </w:rPr>
        <w:t>Data previously obtained by the TUI shows the extraordinary decline in support available to individual applicants under the existing scheme.</w:t>
      </w:r>
    </w:p>
    <w:tbl>
      <w:tblPr>
        <w:tblW w:w="9350" w:type="dxa"/>
        <w:tblInd w:w="-3" w:type="dxa"/>
        <w:tblCellMar>
          <w:left w:w="0" w:type="dxa"/>
          <w:right w:w="0" w:type="dxa"/>
        </w:tblCellMar>
        <w:tblLook w:val="04A0" w:firstRow="1" w:lastRow="0" w:firstColumn="1" w:lastColumn="0" w:noHBand="0" w:noVBand="1"/>
      </w:tblPr>
      <w:tblGrid>
        <w:gridCol w:w="970"/>
        <w:gridCol w:w="4339"/>
        <w:gridCol w:w="1681"/>
        <w:gridCol w:w="1363"/>
        <w:gridCol w:w="1116"/>
      </w:tblGrid>
      <w:tr w:rsidR="00376762" w14:paraId="6FC697B2" w14:textId="77777777" w:rsidTr="00376762">
        <w:trPr>
          <w:trHeight w:val="300"/>
        </w:trPr>
        <w:tc>
          <w:tcPr>
            <w:tcW w:w="8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96F801" w14:textId="77777777" w:rsidR="00376762" w:rsidRDefault="00376762">
            <w:pPr>
              <w:jc w:val="center"/>
              <w:rPr>
                <w:b/>
                <w:bCs/>
                <w:color w:val="000000"/>
              </w:rPr>
            </w:pPr>
            <w:r>
              <w:rPr>
                <w:b/>
                <w:bCs/>
                <w:color w:val="000000"/>
              </w:rPr>
              <w:t>Year</w:t>
            </w:r>
          </w:p>
        </w:tc>
        <w:tc>
          <w:tcPr>
            <w:tcW w:w="43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B51ABF" w14:textId="77777777" w:rsidR="00376762" w:rsidRDefault="00376762">
            <w:pPr>
              <w:jc w:val="center"/>
              <w:rPr>
                <w:b/>
                <w:bCs/>
                <w:color w:val="000000"/>
              </w:rPr>
            </w:pPr>
            <w:r>
              <w:rPr>
                <w:b/>
                <w:bCs/>
                <w:color w:val="000000"/>
              </w:rPr>
              <w:t>Total applicants</w:t>
            </w:r>
          </w:p>
        </w:tc>
        <w:tc>
          <w:tcPr>
            <w:tcW w:w="168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D0102A" w14:textId="77777777" w:rsidR="00376762" w:rsidRDefault="00376762">
            <w:pPr>
              <w:jc w:val="center"/>
              <w:rPr>
                <w:b/>
                <w:bCs/>
                <w:color w:val="000000"/>
              </w:rPr>
            </w:pPr>
            <w:r>
              <w:rPr>
                <w:b/>
                <w:bCs/>
                <w:color w:val="000000"/>
              </w:rPr>
              <w:t>Non approvals</w:t>
            </w:r>
          </w:p>
        </w:tc>
        <w:tc>
          <w:tcPr>
            <w:tcW w:w="13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0901FC" w14:textId="77777777" w:rsidR="00376762" w:rsidRDefault="00376762">
            <w:pPr>
              <w:jc w:val="center"/>
              <w:rPr>
                <w:b/>
                <w:bCs/>
                <w:color w:val="000000"/>
              </w:rPr>
            </w:pPr>
            <w:r>
              <w:rPr>
                <w:b/>
                <w:bCs/>
                <w:color w:val="000000"/>
              </w:rPr>
              <w:t>Total approvals</w:t>
            </w:r>
          </w:p>
        </w:tc>
        <w:tc>
          <w:tcPr>
            <w:tcW w:w="11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9DFB82" w14:textId="77777777" w:rsidR="00376762" w:rsidRDefault="00376762">
            <w:pPr>
              <w:jc w:val="center"/>
              <w:rPr>
                <w:b/>
                <w:bCs/>
                <w:color w:val="000000"/>
              </w:rPr>
            </w:pPr>
            <w:r>
              <w:rPr>
                <w:b/>
                <w:bCs/>
                <w:color w:val="000000"/>
              </w:rPr>
              <w:t>% refund</w:t>
            </w:r>
          </w:p>
        </w:tc>
      </w:tr>
      <w:tr w:rsidR="00376762" w14:paraId="01956661"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B66FF7" w14:textId="77777777" w:rsidR="00376762" w:rsidRDefault="00376762">
            <w:pPr>
              <w:jc w:val="center"/>
              <w:rPr>
                <w:color w:val="000000"/>
              </w:rPr>
            </w:pPr>
            <w:r>
              <w:rPr>
                <w:color w:val="000000"/>
              </w:rPr>
              <w:t>2003/04</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F22A93" w14:textId="77777777" w:rsidR="00376762" w:rsidRDefault="00376762">
            <w:pPr>
              <w:jc w:val="center"/>
              <w:rPr>
                <w:color w:val="000000"/>
              </w:rPr>
            </w:pPr>
            <w:r>
              <w:rPr>
                <w:color w:val="000000"/>
              </w:rPr>
              <w:t>506</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582D0F" w14:textId="77777777" w:rsidR="00376762" w:rsidRDefault="00376762">
            <w:pPr>
              <w:jc w:val="center"/>
              <w:rPr>
                <w:color w:val="000000"/>
              </w:rPr>
            </w:pPr>
            <w:r>
              <w:rPr>
                <w:color w:val="000000"/>
              </w:rPr>
              <w:t>123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C56241" w14:textId="77777777" w:rsidR="00376762" w:rsidRDefault="00376762">
            <w:pPr>
              <w:jc w:val="center"/>
              <w:rPr>
                <w:color w:val="000000"/>
              </w:rPr>
            </w:pPr>
            <w:r>
              <w:rPr>
                <w:color w:val="000000"/>
              </w:rPr>
              <w:t>383</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572E3B" w14:textId="77777777" w:rsidR="00376762" w:rsidRDefault="00376762">
            <w:pPr>
              <w:jc w:val="center"/>
              <w:rPr>
                <w:color w:val="000000"/>
              </w:rPr>
            </w:pPr>
            <w:r>
              <w:rPr>
                <w:color w:val="000000"/>
              </w:rPr>
              <w:t>73%</w:t>
            </w:r>
          </w:p>
        </w:tc>
      </w:tr>
      <w:tr w:rsidR="00376762" w14:paraId="5A53EB40"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853BA7" w14:textId="77777777" w:rsidR="00376762" w:rsidRDefault="00376762">
            <w:pPr>
              <w:jc w:val="center"/>
              <w:rPr>
                <w:color w:val="000000"/>
              </w:rPr>
            </w:pPr>
            <w:r>
              <w:rPr>
                <w:color w:val="000000"/>
              </w:rPr>
              <w:t>2004/05</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E5A26" w14:textId="77777777" w:rsidR="00376762" w:rsidRDefault="00376762">
            <w:pPr>
              <w:jc w:val="center"/>
              <w:rPr>
                <w:color w:val="000000"/>
              </w:rPr>
            </w:pPr>
            <w:r>
              <w:rPr>
                <w:color w:val="000000"/>
              </w:rPr>
              <w:t>587</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E538FF" w14:textId="77777777" w:rsidR="00376762" w:rsidRDefault="00376762">
            <w:pPr>
              <w:jc w:val="center"/>
              <w:rPr>
                <w:color w:val="000000"/>
              </w:rPr>
            </w:pPr>
            <w:r>
              <w:rPr>
                <w:color w:val="000000"/>
              </w:rPr>
              <w:t>106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C87CA1" w14:textId="77777777" w:rsidR="00376762" w:rsidRDefault="00376762">
            <w:pPr>
              <w:jc w:val="center"/>
              <w:rPr>
                <w:color w:val="000000"/>
              </w:rPr>
            </w:pPr>
            <w:r>
              <w:rPr>
                <w:color w:val="000000"/>
              </w:rPr>
              <w:t>481</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621F35" w14:textId="77777777" w:rsidR="00376762" w:rsidRDefault="00376762">
            <w:pPr>
              <w:jc w:val="center"/>
              <w:rPr>
                <w:color w:val="000000"/>
              </w:rPr>
            </w:pPr>
            <w:r>
              <w:rPr>
                <w:color w:val="000000"/>
              </w:rPr>
              <w:t>53%</w:t>
            </w:r>
          </w:p>
        </w:tc>
      </w:tr>
      <w:tr w:rsidR="00376762" w14:paraId="19894AA9"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74DC87" w14:textId="77777777" w:rsidR="00376762" w:rsidRDefault="00376762">
            <w:pPr>
              <w:jc w:val="center"/>
              <w:rPr>
                <w:color w:val="000000"/>
              </w:rPr>
            </w:pPr>
            <w:r>
              <w:rPr>
                <w:color w:val="000000"/>
              </w:rPr>
              <w:t>2005/06</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3CFE8E" w14:textId="77777777" w:rsidR="00376762" w:rsidRDefault="00376762">
            <w:pPr>
              <w:jc w:val="center"/>
              <w:rPr>
                <w:color w:val="000000"/>
              </w:rPr>
            </w:pPr>
            <w:r>
              <w:rPr>
                <w:color w:val="000000"/>
              </w:rPr>
              <w:t>483</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E93C9" w14:textId="77777777" w:rsidR="00376762" w:rsidRDefault="00376762">
            <w:pPr>
              <w:jc w:val="center"/>
              <w:rPr>
                <w:color w:val="000000"/>
              </w:rPr>
            </w:pPr>
            <w:r>
              <w:rPr>
                <w:color w:val="000000"/>
              </w:rPr>
              <w:t>78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7845C9" w14:textId="77777777" w:rsidR="00376762" w:rsidRDefault="00376762">
            <w:pPr>
              <w:jc w:val="center"/>
              <w:rPr>
                <w:color w:val="000000"/>
              </w:rPr>
            </w:pPr>
            <w:r>
              <w:rPr>
                <w:color w:val="000000"/>
              </w:rPr>
              <w:t>405</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9F999" w14:textId="77777777" w:rsidR="00376762" w:rsidRDefault="00376762">
            <w:pPr>
              <w:jc w:val="center"/>
              <w:rPr>
                <w:color w:val="000000"/>
              </w:rPr>
            </w:pPr>
            <w:r>
              <w:rPr>
                <w:color w:val="000000"/>
              </w:rPr>
              <w:t>64%</w:t>
            </w:r>
          </w:p>
        </w:tc>
      </w:tr>
      <w:tr w:rsidR="00376762" w14:paraId="78D44C23"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01F456" w14:textId="77777777" w:rsidR="00376762" w:rsidRDefault="00376762">
            <w:pPr>
              <w:jc w:val="center"/>
              <w:rPr>
                <w:color w:val="000000"/>
              </w:rPr>
            </w:pPr>
            <w:r>
              <w:rPr>
                <w:color w:val="000000"/>
              </w:rPr>
              <w:t>2006/07</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0750E6" w14:textId="77777777" w:rsidR="00376762" w:rsidRDefault="00376762">
            <w:pPr>
              <w:jc w:val="center"/>
              <w:rPr>
                <w:color w:val="000000"/>
              </w:rPr>
            </w:pPr>
            <w:r>
              <w:rPr>
                <w:color w:val="000000"/>
              </w:rPr>
              <w:t>591</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B7503C" w14:textId="77777777" w:rsidR="00376762" w:rsidRDefault="00376762">
            <w:pPr>
              <w:jc w:val="center"/>
              <w:rPr>
                <w:color w:val="000000"/>
              </w:rPr>
            </w:pPr>
            <w:r>
              <w:rPr>
                <w:color w:val="000000"/>
              </w:rPr>
              <w:t>95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8DEEFA" w14:textId="77777777" w:rsidR="00376762" w:rsidRDefault="00376762">
            <w:pPr>
              <w:jc w:val="center"/>
              <w:rPr>
                <w:color w:val="000000"/>
              </w:rPr>
            </w:pPr>
            <w:r>
              <w:rPr>
                <w:color w:val="000000"/>
              </w:rPr>
              <w:t>496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15DD37" w14:textId="77777777" w:rsidR="00376762" w:rsidRDefault="00376762">
            <w:pPr>
              <w:jc w:val="center"/>
              <w:rPr>
                <w:color w:val="000000"/>
              </w:rPr>
            </w:pPr>
            <w:r>
              <w:rPr>
                <w:color w:val="000000"/>
              </w:rPr>
              <w:t>52%</w:t>
            </w:r>
          </w:p>
        </w:tc>
      </w:tr>
      <w:tr w:rsidR="00376762" w14:paraId="73790FEC"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79CDA9" w14:textId="77777777" w:rsidR="00376762" w:rsidRDefault="00376762">
            <w:pPr>
              <w:jc w:val="center"/>
              <w:rPr>
                <w:color w:val="000000"/>
              </w:rPr>
            </w:pPr>
            <w:r>
              <w:rPr>
                <w:color w:val="000000"/>
              </w:rPr>
              <w:t>2007/08</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38902" w14:textId="77777777" w:rsidR="00376762" w:rsidRDefault="00376762">
            <w:pPr>
              <w:jc w:val="center"/>
              <w:rPr>
                <w:color w:val="000000"/>
              </w:rPr>
            </w:pPr>
            <w:r>
              <w:rPr>
                <w:color w:val="000000"/>
              </w:rPr>
              <w:t>552</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3C0FE8" w14:textId="77777777" w:rsidR="00376762" w:rsidRDefault="00376762">
            <w:pPr>
              <w:jc w:val="center"/>
              <w:rPr>
                <w:color w:val="000000"/>
              </w:rPr>
            </w:pPr>
            <w:r>
              <w:rPr>
                <w:color w:val="000000"/>
              </w:rPr>
              <w:t>133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B0C9F" w14:textId="77777777" w:rsidR="00376762" w:rsidRDefault="00376762">
            <w:pPr>
              <w:jc w:val="center"/>
              <w:rPr>
                <w:color w:val="000000"/>
              </w:rPr>
            </w:pPr>
            <w:r>
              <w:rPr>
                <w:color w:val="000000"/>
              </w:rPr>
              <w:t>419</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02BB2" w14:textId="77777777" w:rsidR="00376762" w:rsidRDefault="00376762">
            <w:pPr>
              <w:jc w:val="center"/>
              <w:rPr>
                <w:color w:val="000000"/>
              </w:rPr>
            </w:pPr>
            <w:r>
              <w:rPr>
                <w:color w:val="000000"/>
              </w:rPr>
              <w:t>63%</w:t>
            </w:r>
          </w:p>
        </w:tc>
      </w:tr>
      <w:tr w:rsidR="00376762" w14:paraId="3F11E3F8"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64BCC9" w14:textId="77777777" w:rsidR="00376762" w:rsidRDefault="00376762">
            <w:pPr>
              <w:jc w:val="center"/>
              <w:rPr>
                <w:color w:val="000000"/>
              </w:rPr>
            </w:pPr>
            <w:r>
              <w:rPr>
                <w:color w:val="000000"/>
              </w:rPr>
              <w:t>2008/09</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AB1BCC" w14:textId="77777777" w:rsidR="00376762" w:rsidRDefault="00376762">
            <w:pPr>
              <w:jc w:val="center"/>
              <w:rPr>
                <w:color w:val="000000"/>
              </w:rPr>
            </w:pPr>
            <w:r>
              <w:rPr>
                <w:color w:val="000000"/>
              </w:rPr>
              <w:t>549</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564476" w14:textId="77777777" w:rsidR="00376762" w:rsidRDefault="00376762">
            <w:pPr>
              <w:jc w:val="center"/>
              <w:rPr>
                <w:color w:val="000000"/>
              </w:rPr>
            </w:pPr>
            <w:r>
              <w:rPr>
                <w:color w:val="000000"/>
              </w:rPr>
              <w:t>98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8D5D87" w14:textId="77777777" w:rsidR="00376762" w:rsidRDefault="00376762">
            <w:pPr>
              <w:jc w:val="center"/>
              <w:rPr>
                <w:color w:val="000000"/>
              </w:rPr>
            </w:pPr>
            <w:r>
              <w:rPr>
                <w:color w:val="000000"/>
              </w:rPr>
              <w:t>451</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49C4DC" w14:textId="77777777" w:rsidR="00376762" w:rsidRDefault="00376762">
            <w:pPr>
              <w:jc w:val="center"/>
              <w:rPr>
                <w:color w:val="000000"/>
              </w:rPr>
            </w:pPr>
            <w:r>
              <w:rPr>
                <w:color w:val="000000"/>
              </w:rPr>
              <w:t>63%</w:t>
            </w:r>
          </w:p>
        </w:tc>
      </w:tr>
      <w:tr w:rsidR="00376762" w14:paraId="744AEC84"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6375D7" w14:textId="77777777" w:rsidR="00376762" w:rsidRDefault="00376762">
            <w:pPr>
              <w:jc w:val="center"/>
              <w:rPr>
                <w:color w:val="000000"/>
              </w:rPr>
            </w:pPr>
            <w:r>
              <w:rPr>
                <w:color w:val="000000"/>
              </w:rPr>
              <w:t>2009/10</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C7D49" w14:textId="77777777" w:rsidR="00376762" w:rsidRDefault="00376762">
            <w:pPr>
              <w:jc w:val="center"/>
              <w:rPr>
                <w:color w:val="000000"/>
              </w:rPr>
            </w:pPr>
            <w:r>
              <w:rPr>
                <w:color w:val="000000"/>
              </w:rPr>
              <w:t>639</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4F64F6" w14:textId="77777777" w:rsidR="00376762" w:rsidRDefault="00376762">
            <w:pPr>
              <w:jc w:val="center"/>
              <w:rPr>
                <w:color w:val="000000"/>
              </w:rPr>
            </w:pPr>
            <w:r>
              <w:rPr>
                <w:color w:val="000000"/>
              </w:rPr>
              <w:t>107</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E10C8F" w14:textId="77777777" w:rsidR="00376762" w:rsidRDefault="00376762">
            <w:pPr>
              <w:jc w:val="center"/>
              <w:rPr>
                <w:color w:val="000000"/>
              </w:rPr>
            </w:pPr>
            <w:r>
              <w:rPr>
                <w:color w:val="000000"/>
              </w:rPr>
              <w:t>532</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AB7F99" w14:textId="77777777" w:rsidR="00376762" w:rsidRDefault="00376762">
            <w:pPr>
              <w:jc w:val="center"/>
              <w:rPr>
                <w:color w:val="000000"/>
              </w:rPr>
            </w:pPr>
            <w:r>
              <w:rPr>
                <w:color w:val="000000"/>
              </w:rPr>
              <w:t>52%</w:t>
            </w:r>
          </w:p>
        </w:tc>
      </w:tr>
      <w:tr w:rsidR="00376762" w14:paraId="468AB022"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607F48" w14:textId="77777777" w:rsidR="00376762" w:rsidRDefault="00376762">
            <w:pPr>
              <w:jc w:val="center"/>
              <w:rPr>
                <w:color w:val="000000"/>
              </w:rPr>
            </w:pPr>
            <w:r>
              <w:rPr>
                <w:color w:val="000000"/>
              </w:rPr>
              <w:t>2010/11</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FFECC3" w14:textId="77777777" w:rsidR="00376762" w:rsidRDefault="00376762">
            <w:pPr>
              <w:jc w:val="center"/>
              <w:rPr>
                <w:color w:val="000000"/>
              </w:rPr>
            </w:pPr>
            <w:r>
              <w:rPr>
                <w:color w:val="000000"/>
              </w:rPr>
              <w:t>786</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2AB534" w14:textId="77777777" w:rsidR="00376762" w:rsidRDefault="00376762">
            <w:pPr>
              <w:jc w:val="center"/>
              <w:rPr>
                <w:color w:val="000000"/>
              </w:rPr>
            </w:pPr>
            <w:r>
              <w:rPr>
                <w:color w:val="000000"/>
              </w:rPr>
              <w:t>242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7666DA" w14:textId="77777777" w:rsidR="00376762" w:rsidRDefault="00376762">
            <w:pPr>
              <w:jc w:val="center"/>
              <w:rPr>
                <w:color w:val="000000"/>
              </w:rPr>
            </w:pPr>
            <w:r>
              <w:rPr>
                <w:color w:val="000000"/>
              </w:rPr>
              <w:t>544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54A6AB" w14:textId="77777777" w:rsidR="00376762" w:rsidRDefault="00376762">
            <w:pPr>
              <w:jc w:val="center"/>
              <w:rPr>
                <w:color w:val="000000"/>
              </w:rPr>
            </w:pPr>
            <w:r>
              <w:rPr>
                <w:color w:val="000000"/>
              </w:rPr>
              <w:t>46%</w:t>
            </w:r>
          </w:p>
        </w:tc>
      </w:tr>
      <w:tr w:rsidR="00376762" w14:paraId="58DFBE27"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93E32A" w14:textId="77777777" w:rsidR="00376762" w:rsidRDefault="00376762">
            <w:pPr>
              <w:jc w:val="center"/>
              <w:rPr>
                <w:color w:val="000000"/>
              </w:rPr>
            </w:pPr>
            <w:r>
              <w:rPr>
                <w:color w:val="000000"/>
              </w:rPr>
              <w:t>2011/12</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EA1CB" w14:textId="77777777" w:rsidR="00376762" w:rsidRDefault="00376762">
            <w:pPr>
              <w:jc w:val="center"/>
              <w:rPr>
                <w:color w:val="000000"/>
              </w:rPr>
            </w:pPr>
            <w:r>
              <w:rPr>
                <w:color w:val="000000"/>
              </w:rPr>
              <w:t>563</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1B2EC" w14:textId="77777777" w:rsidR="00376762" w:rsidRDefault="00376762">
            <w:pPr>
              <w:jc w:val="center"/>
              <w:rPr>
                <w:color w:val="000000"/>
              </w:rPr>
            </w:pPr>
            <w:r>
              <w:rPr>
                <w:color w:val="000000"/>
              </w:rPr>
              <w:t>122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A0131" w14:textId="77777777" w:rsidR="00376762" w:rsidRDefault="00376762">
            <w:pPr>
              <w:jc w:val="center"/>
              <w:rPr>
                <w:color w:val="000000"/>
              </w:rPr>
            </w:pPr>
            <w:r>
              <w:rPr>
                <w:color w:val="000000"/>
              </w:rPr>
              <w:t>441</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C9F81" w14:textId="77777777" w:rsidR="00376762" w:rsidRDefault="00376762">
            <w:pPr>
              <w:jc w:val="center"/>
              <w:rPr>
                <w:color w:val="000000"/>
              </w:rPr>
            </w:pPr>
            <w:r>
              <w:rPr>
                <w:color w:val="000000"/>
              </w:rPr>
              <w:t>54%</w:t>
            </w:r>
          </w:p>
        </w:tc>
      </w:tr>
      <w:tr w:rsidR="00376762" w14:paraId="08D37890"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8EB10B" w14:textId="77777777" w:rsidR="00376762" w:rsidRDefault="00376762">
            <w:pPr>
              <w:jc w:val="center"/>
              <w:rPr>
                <w:color w:val="000000"/>
              </w:rPr>
            </w:pPr>
            <w:r>
              <w:rPr>
                <w:color w:val="000000"/>
              </w:rPr>
              <w:t>2012/13</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2AA26C" w14:textId="77777777" w:rsidR="00376762" w:rsidRDefault="00376762">
            <w:pPr>
              <w:jc w:val="center"/>
              <w:rPr>
                <w:color w:val="000000"/>
              </w:rPr>
            </w:pPr>
            <w:r>
              <w:rPr>
                <w:color w:val="000000"/>
              </w:rPr>
              <w:t>755</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A6089D" w14:textId="77777777" w:rsidR="00376762" w:rsidRDefault="00376762">
            <w:pPr>
              <w:jc w:val="center"/>
              <w:rPr>
                <w:color w:val="000000"/>
              </w:rPr>
            </w:pPr>
            <w:r>
              <w:rPr>
                <w:color w:val="000000"/>
              </w:rPr>
              <w:t>72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540C8" w14:textId="77777777" w:rsidR="00376762" w:rsidRDefault="00376762">
            <w:pPr>
              <w:jc w:val="center"/>
              <w:rPr>
                <w:color w:val="000000"/>
              </w:rPr>
            </w:pPr>
            <w:r>
              <w:rPr>
                <w:color w:val="000000"/>
              </w:rPr>
              <w:t>683</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B31905" w14:textId="77777777" w:rsidR="00376762" w:rsidRDefault="00376762">
            <w:pPr>
              <w:jc w:val="center"/>
              <w:rPr>
                <w:color w:val="000000"/>
              </w:rPr>
            </w:pPr>
            <w:r>
              <w:rPr>
                <w:color w:val="000000"/>
              </w:rPr>
              <w:t>28%</w:t>
            </w:r>
          </w:p>
        </w:tc>
      </w:tr>
      <w:tr w:rsidR="00376762" w14:paraId="0329A723"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C4D214" w14:textId="77777777" w:rsidR="00376762" w:rsidRDefault="00376762">
            <w:pPr>
              <w:jc w:val="center"/>
              <w:rPr>
                <w:color w:val="000000"/>
              </w:rPr>
            </w:pPr>
            <w:r>
              <w:rPr>
                <w:color w:val="000000"/>
              </w:rPr>
              <w:t>2013/14</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BC11B9" w14:textId="77777777" w:rsidR="00376762" w:rsidRDefault="00376762">
            <w:pPr>
              <w:jc w:val="center"/>
              <w:rPr>
                <w:color w:val="000000"/>
              </w:rPr>
            </w:pPr>
            <w:r>
              <w:rPr>
                <w:color w:val="000000"/>
              </w:rPr>
              <w:t>805</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00B27B" w14:textId="77777777" w:rsidR="00376762" w:rsidRDefault="00376762">
            <w:pPr>
              <w:jc w:val="center"/>
              <w:rPr>
                <w:color w:val="000000"/>
              </w:rPr>
            </w:pPr>
            <w:r>
              <w:rPr>
                <w:color w:val="000000"/>
              </w:rPr>
              <w:t>41</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C1571" w14:textId="77777777" w:rsidR="00376762" w:rsidRDefault="00376762">
            <w:pPr>
              <w:jc w:val="center"/>
              <w:rPr>
                <w:color w:val="000000"/>
              </w:rPr>
            </w:pPr>
            <w:r>
              <w:rPr>
                <w:color w:val="000000"/>
              </w:rPr>
              <w:t>764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5F5416" w14:textId="77777777" w:rsidR="00376762" w:rsidRDefault="00376762">
            <w:pPr>
              <w:jc w:val="center"/>
              <w:rPr>
                <w:color w:val="000000"/>
              </w:rPr>
            </w:pPr>
            <w:r>
              <w:rPr>
                <w:color w:val="000000"/>
              </w:rPr>
              <w:t>24%</w:t>
            </w:r>
          </w:p>
        </w:tc>
      </w:tr>
      <w:tr w:rsidR="00376762" w14:paraId="606D207F"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FDA6B4" w14:textId="77777777" w:rsidR="00376762" w:rsidRDefault="00376762">
            <w:pPr>
              <w:jc w:val="center"/>
              <w:rPr>
                <w:color w:val="000000"/>
              </w:rPr>
            </w:pPr>
            <w:r>
              <w:rPr>
                <w:color w:val="000000"/>
              </w:rPr>
              <w:t>2013/14</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F1420C" w14:textId="77777777" w:rsidR="00376762" w:rsidRDefault="00376762">
            <w:pPr>
              <w:jc w:val="center"/>
              <w:rPr>
                <w:color w:val="000000"/>
              </w:rPr>
            </w:pPr>
            <w:r>
              <w:rPr>
                <w:color w:val="000000"/>
              </w:rPr>
              <w:t>1039</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FC476" w14:textId="77777777" w:rsidR="00376762" w:rsidRDefault="00376762">
            <w:pPr>
              <w:jc w:val="center"/>
              <w:rPr>
                <w:color w:val="000000"/>
              </w:rPr>
            </w:pPr>
            <w:r>
              <w:rPr>
                <w:color w:val="000000"/>
              </w:rPr>
              <w:t>56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A0D7AF" w14:textId="77777777" w:rsidR="00376762" w:rsidRDefault="00376762">
            <w:pPr>
              <w:jc w:val="center"/>
              <w:rPr>
                <w:color w:val="000000"/>
              </w:rPr>
            </w:pPr>
            <w:r>
              <w:rPr>
                <w:color w:val="000000"/>
              </w:rPr>
              <w:t>983</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F0EF1" w14:textId="77777777" w:rsidR="00376762" w:rsidRDefault="00376762">
            <w:pPr>
              <w:jc w:val="center"/>
              <w:rPr>
                <w:color w:val="000000"/>
              </w:rPr>
            </w:pPr>
            <w:r>
              <w:rPr>
                <w:color w:val="000000"/>
              </w:rPr>
              <w:t>18%</w:t>
            </w:r>
          </w:p>
        </w:tc>
      </w:tr>
      <w:tr w:rsidR="00376762" w14:paraId="00C68437"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84862C" w14:textId="77777777" w:rsidR="00376762" w:rsidRPr="00376762" w:rsidRDefault="00376762">
            <w:pPr>
              <w:jc w:val="center"/>
            </w:pPr>
            <w:r w:rsidRPr="00376762">
              <w:t>2015/16</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C1E40" w14:textId="77777777" w:rsidR="00376762" w:rsidRPr="00376762" w:rsidRDefault="00376762">
            <w:pPr>
              <w:jc w:val="center"/>
            </w:pPr>
            <w:r w:rsidRPr="00376762">
              <w:t>1227</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1560A" w14:textId="77777777" w:rsidR="00376762" w:rsidRPr="00376762" w:rsidRDefault="00376762">
            <w:pPr>
              <w:jc w:val="center"/>
            </w:pPr>
            <w:r w:rsidRPr="00376762">
              <w:t>69</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EA0D7" w14:textId="77777777" w:rsidR="00376762" w:rsidRPr="00376762" w:rsidRDefault="00376762">
            <w:pPr>
              <w:jc w:val="center"/>
            </w:pPr>
            <w:r w:rsidRPr="00376762">
              <w:t>1158</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3D1E76" w14:textId="77777777" w:rsidR="00376762" w:rsidRPr="00376762" w:rsidRDefault="00376762">
            <w:pPr>
              <w:jc w:val="center"/>
            </w:pPr>
            <w:r w:rsidRPr="00376762">
              <w:t>15%</w:t>
            </w:r>
          </w:p>
        </w:tc>
      </w:tr>
      <w:tr w:rsidR="00376762" w14:paraId="2E0F4346" w14:textId="77777777" w:rsidTr="00376762">
        <w:trPr>
          <w:trHeight w:val="300"/>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CAE24F" w14:textId="77777777" w:rsidR="00376762" w:rsidRDefault="00376762">
            <w:pPr>
              <w:jc w:val="center"/>
              <w:rPr>
                <w:color w:val="000000"/>
              </w:rPr>
            </w:pPr>
            <w:r>
              <w:rPr>
                <w:color w:val="000000"/>
              </w:rPr>
              <w:t>2016/17</w:t>
            </w:r>
          </w:p>
        </w:tc>
        <w:tc>
          <w:tcPr>
            <w:tcW w:w="43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8D09C" w14:textId="455596AA" w:rsidR="00376762" w:rsidRDefault="00376762">
            <w:pPr>
              <w:rPr>
                <w:color w:val="000000"/>
              </w:rPr>
            </w:pP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7C2CB" w14:textId="77777777" w:rsidR="00376762" w:rsidRDefault="00376762">
            <w:pPr>
              <w:jc w:val="center"/>
              <w:rPr>
                <w:color w:val="000000"/>
              </w:rPr>
            </w:pPr>
            <w:r>
              <w:rPr>
                <w:color w:val="000000"/>
              </w:rPr>
              <w:t> </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08C295" w14:textId="77777777" w:rsidR="00376762" w:rsidRDefault="00376762">
            <w:pPr>
              <w:jc w:val="center"/>
              <w:rPr>
                <w:color w:val="000000"/>
              </w:rPr>
            </w:pPr>
            <w:r>
              <w:rPr>
                <w:color w:val="000000"/>
              </w:rPr>
              <w:t> </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1DA9FE" w14:textId="77777777" w:rsidR="00376762" w:rsidRDefault="00376762">
            <w:pPr>
              <w:jc w:val="center"/>
              <w:rPr>
                <w:color w:val="000000"/>
              </w:rPr>
            </w:pPr>
            <w:r>
              <w:rPr>
                <w:color w:val="000000"/>
              </w:rPr>
              <w:t> </w:t>
            </w:r>
          </w:p>
        </w:tc>
      </w:tr>
    </w:tbl>
    <w:p w14:paraId="1A94B1A5" w14:textId="77777777" w:rsidR="00376762" w:rsidRDefault="00376762" w:rsidP="00376762">
      <w:pPr>
        <w:rPr>
          <w:rFonts w:ascii="Calibri" w:hAnsi="Calibri" w:cs="Calibri"/>
        </w:rPr>
      </w:pPr>
    </w:p>
    <w:p w14:paraId="51122C4A" w14:textId="77777777" w:rsidR="00376762" w:rsidRDefault="00376762" w:rsidP="007D7C46">
      <w:pPr>
        <w:spacing w:line="360" w:lineRule="auto"/>
        <w:jc w:val="both"/>
        <w:rPr>
          <w:sz w:val="24"/>
          <w:szCs w:val="24"/>
        </w:rPr>
      </w:pPr>
    </w:p>
    <w:p w14:paraId="148437DC" w14:textId="223DAA03" w:rsidR="00405AA8" w:rsidRPr="00405AA8" w:rsidRDefault="00405AA8" w:rsidP="007D7C46">
      <w:pPr>
        <w:spacing w:line="360" w:lineRule="auto"/>
        <w:jc w:val="both"/>
        <w:rPr>
          <w:sz w:val="24"/>
          <w:szCs w:val="24"/>
        </w:rPr>
      </w:pPr>
      <w:r w:rsidRPr="00405AA8">
        <w:rPr>
          <w:sz w:val="24"/>
          <w:szCs w:val="24"/>
        </w:rPr>
        <w:lastRenderedPageBreak/>
        <w:t>The TUI would like t</w:t>
      </w:r>
      <w:r w:rsidR="00B27078">
        <w:rPr>
          <w:sz w:val="24"/>
          <w:szCs w:val="24"/>
        </w:rPr>
        <w:t>he</w:t>
      </w:r>
      <w:r w:rsidRPr="00405AA8">
        <w:rPr>
          <w:sz w:val="24"/>
          <w:szCs w:val="24"/>
        </w:rPr>
        <w:t xml:space="preserve"> DES to take the following matters into account in its review of the teacher fee refund scheme:</w:t>
      </w:r>
    </w:p>
    <w:p w14:paraId="525ABCC2" w14:textId="2AEC4667" w:rsidR="00405AA8" w:rsidRPr="00405AA8" w:rsidRDefault="00405AA8" w:rsidP="00405AA8">
      <w:pPr>
        <w:pStyle w:val="ListParagraph"/>
        <w:numPr>
          <w:ilvl w:val="0"/>
          <w:numId w:val="27"/>
        </w:numPr>
        <w:spacing w:line="360" w:lineRule="auto"/>
        <w:jc w:val="both"/>
        <w:rPr>
          <w:sz w:val="24"/>
          <w:szCs w:val="24"/>
        </w:rPr>
      </w:pPr>
      <w:r w:rsidRPr="00405AA8">
        <w:rPr>
          <w:sz w:val="24"/>
          <w:szCs w:val="24"/>
        </w:rPr>
        <w:t xml:space="preserve">The budget available to the scheme has </w:t>
      </w:r>
      <w:r w:rsidR="00376762">
        <w:rPr>
          <w:sz w:val="24"/>
          <w:szCs w:val="24"/>
        </w:rPr>
        <w:t xml:space="preserve">clearly </w:t>
      </w:r>
      <w:r w:rsidRPr="00405AA8">
        <w:rPr>
          <w:sz w:val="24"/>
          <w:szCs w:val="24"/>
        </w:rPr>
        <w:t xml:space="preserve">proven, over </w:t>
      </w:r>
      <w:proofErr w:type="gramStart"/>
      <w:r w:rsidRPr="00405AA8">
        <w:rPr>
          <w:sz w:val="24"/>
          <w:szCs w:val="24"/>
        </w:rPr>
        <w:t>a number of</w:t>
      </w:r>
      <w:proofErr w:type="gramEnd"/>
      <w:r w:rsidRPr="00405AA8">
        <w:rPr>
          <w:sz w:val="24"/>
          <w:szCs w:val="24"/>
        </w:rPr>
        <w:t xml:space="preserve"> years, to be woefully inadequate.  A substantial budget increase is required if teachers are to be adequately supported in pursuing further academic qualifications.</w:t>
      </w:r>
    </w:p>
    <w:p w14:paraId="192AC779" w14:textId="634A7993" w:rsidR="00405AA8" w:rsidRPr="00405AA8" w:rsidRDefault="00405AA8" w:rsidP="00405AA8">
      <w:pPr>
        <w:pStyle w:val="ListParagraph"/>
        <w:numPr>
          <w:ilvl w:val="0"/>
          <w:numId w:val="27"/>
        </w:numPr>
        <w:spacing w:line="360" w:lineRule="auto"/>
        <w:jc w:val="both"/>
        <w:rPr>
          <w:sz w:val="24"/>
          <w:szCs w:val="24"/>
        </w:rPr>
      </w:pPr>
      <w:r w:rsidRPr="00405AA8">
        <w:rPr>
          <w:sz w:val="24"/>
          <w:szCs w:val="24"/>
        </w:rPr>
        <w:t>The scheme should, unlike now, be available to all teachers who are registered with the Teaching Council and who are working in schools, colleges of further education, the Prison Education Service or other State-funded education provision.</w:t>
      </w:r>
    </w:p>
    <w:p w14:paraId="669BFCD2" w14:textId="3280485D" w:rsidR="00405AA8" w:rsidRDefault="00405AA8" w:rsidP="00405AA8">
      <w:pPr>
        <w:pStyle w:val="ListParagraph"/>
        <w:numPr>
          <w:ilvl w:val="0"/>
          <w:numId w:val="27"/>
        </w:numPr>
        <w:spacing w:line="360" w:lineRule="auto"/>
        <w:jc w:val="both"/>
        <w:rPr>
          <w:sz w:val="24"/>
          <w:szCs w:val="24"/>
        </w:rPr>
      </w:pPr>
      <w:r w:rsidRPr="00405AA8">
        <w:rPr>
          <w:sz w:val="24"/>
          <w:szCs w:val="24"/>
        </w:rPr>
        <w:t xml:space="preserve">It is not </w:t>
      </w:r>
      <w:proofErr w:type="gramStart"/>
      <w:r w:rsidRPr="00405AA8">
        <w:rPr>
          <w:sz w:val="24"/>
          <w:szCs w:val="24"/>
        </w:rPr>
        <w:t>sufficient</w:t>
      </w:r>
      <w:proofErr w:type="gramEnd"/>
      <w:r w:rsidRPr="00405AA8">
        <w:rPr>
          <w:sz w:val="24"/>
          <w:szCs w:val="24"/>
        </w:rPr>
        <w:t xml:space="preserve"> to just restore funding to the Fee Refund Scheme.  The allowances which previously existed for further qualifications </w:t>
      </w:r>
      <w:r w:rsidR="00B27078">
        <w:rPr>
          <w:sz w:val="24"/>
          <w:szCs w:val="24"/>
        </w:rPr>
        <w:t>such as</w:t>
      </w:r>
      <w:r w:rsidRPr="00405AA8">
        <w:rPr>
          <w:sz w:val="24"/>
          <w:szCs w:val="24"/>
        </w:rPr>
        <w:t xml:space="preserve"> for special needs teaching must be restored.</w:t>
      </w:r>
    </w:p>
    <w:p w14:paraId="00A6A7C3" w14:textId="7A50688E" w:rsidR="00B85E6A" w:rsidRPr="00405AA8" w:rsidRDefault="00B85E6A" w:rsidP="00405AA8">
      <w:pPr>
        <w:pStyle w:val="ListParagraph"/>
        <w:numPr>
          <w:ilvl w:val="0"/>
          <w:numId w:val="27"/>
        </w:numPr>
        <w:spacing w:line="360" w:lineRule="auto"/>
        <w:jc w:val="both"/>
        <w:rPr>
          <w:sz w:val="24"/>
          <w:szCs w:val="24"/>
        </w:rPr>
      </w:pPr>
      <w:r>
        <w:rPr>
          <w:sz w:val="24"/>
          <w:szCs w:val="24"/>
        </w:rPr>
        <w:t xml:space="preserve">The TUI notes that the DES participates in </w:t>
      </w:r>
      <w:proofErr w:type="gramStart"/>
      <w:r>
        <w:rPr>
          <w:sz w:val="24"/>
          <w:szCs w:val="24"/>
        </w:rPr>
        <w:t>a number of</w:t>
      </w:r>
      <w:proofErr w:type="gramEnd"/>
      <w:r>
        <w:rPr>
          <w:sz w:val="24"/>
          <w:szCs w:val="24"/>
        </w:rPr>
        <w:t xml:space="preserve"> OECD studies such as PISA and PIAAC and also other international studies such as TIMSS.  It is deeply regrettable that the DES chooses not to participate in the TALIS studies, which in many ways are an important counterpoint to the other studies, </w:t>
      </w:r>
      <w:proofErr w:type="gramStart"/>
      <w:r>
        <w:rPr>
          <w:sz w:val="24"/>
          <w:szCs w:val="24"/>
        </w:rPr>
        <w:t>in particular PISA</w:t>
      </w:r>
      <w:proofErr w:type="gramEnd"/>
      <w:r>
        <w:rPr>
          <w:sz w:val="24"/>
          <w:szCs w:val="24"/>
        </w:rPr>
        <w:t>.  The TUI asks why the DES is willing to participate in part of the picture but not all of it.</w:t>
      </w:r>
      <w:r w:rsidR="00B27078">
        <w:rPr>
          <w:sz w:val="24"/>
          <w:szCs w:val="24"/>
        </w:rPr>
        <w:t xml:space="preserve">  Data from TALIS in relation to continuing professional development would provide an important background to the Teacher fee Refund Scheme.</w:t>
      </w:r>
    </w:p>
    <w:p w14:paraId="1FF112C6" w14:textId="77777777" w:rsidR="00405AA8" w:rsidRPr="00405AA8" w:rsidRDefault="00405AA8" w:rsidP="007D7C46">
      <w:pPr>
        <w:spacing w:line="360" w:lineRule="auto"/>
        <w:jc w:val="both"/>
        <w:rPr>
          <w:sz w:val="24"/>
          <w:szCs w:val="24"/>
        </w:rPr>
      </w:pPr>
    </w:p>
    <w:p w14:paraId="7A0DC925" w14:textId="4FAFA245" w:rsidR="000E0247" w:rsidRPr="00605718" w:rsidRDefault="00605718" w:rsidP="007D7C46">
      <w:pPr>
        <w:spacing w:line="360" w:lineRule="auto"/>
        <w:jc w:val="both"/>
        <w:rPr>
          <w:rFonts w:eastAsia="ArialMT" w:cs="Arial"/>
          <w:b/>
          <w:sz w:val="28"/>
          <w:szCs w:val="28"/>
          <w:u w:val="single"/>
        </w:rPr>
      </w:pPr>
      <w:r w:rsidRPr="00605718">
        <w:rPr>
          <w:rFonts w:eastAsia="ArialMT" w:cs="Arial"/>
          <w:b/>
          <w:sz w:val="28"/>
          <w:szCs w:val="28"/>
          <w:u w:val="single"/>
        </w:rPr>
        <w:t>Conclu</w:t>
      </w:r>
      <w:r w:rsidR="000E0247" w:rsidRPr="00605718">
        <w:rPr>
          <w:rFonts w:eastAsia="ArialMT" w:cs="Arial"/>
          <w:b/>
          <w:sz w:val="28"/>
          <w:szCs w:val="28"/>
          <w:u w:val="single"/>
        </w:rPr>
        <w:t>sion</w:t>
      </w:r>
    </w:p>
    <w:p w14:paraId="7DEA8D58" w14:textId="62B4CBC5" w:rsidR="000E0247" w:rsidRDefault="00405AA8" w:rsidP="007D7C46">
      <w:pPr>
        <w:spacing w:line="360" w:lineRule="auto"/>
        <w:jc w:val="both"/>
        <w:rPr>
          <w:sz w:val="24"/>
          <w:szCs w:val="24"/>
        </w:rPr>
      </w:pPr>
      <w:r>
        <w:rPr>
          <w:sz w:val="24"/>
          <w:szCs w:val="24"/>
        </w:rPr>
        <w:t>The TU</w:t>
      </w:r>
      <w:r w:rsidR="00821106">
        <w:rPr>
          <w:sz w:val="24"/>
          <w:szCs w:val="24"/>
        </w:rPr>
        <w:t>I</w:t>
      </w:r>
      <w:r>
        <w:rPr>
          <w:sz w:val="24"/>
          <w:szCs w:val="24"/>
        </w:rPr>
        <w:t xml:space="preserve"> welcomes this review of the Teacher Fee Refund Scheme.  However, any review of same </w:t>
      </w:r>
      <w:r w:rsidR="00B27078">
        <w:rPr>
          <w:sz w:val="24"/>
          <w:szCs w:val="24"/>
        </w:rPr>
        <w:t>will</w:t>
      </w:r>
      <w:r>
        <w:rPr>
          <w:sz w:val="24"/>
          <w:szCs w:val="24"/>
        </w:rPr>
        <w:t xml:space="preserve"> not succeed if the outcome does not include measures to </w:t>
      </w:r>
      <w:r w:rsidR="000A32A4">
        <w:rPr>
          <w:sz w:val="24"/>
          <w:szCs w:val="24"/>
        </w:rPr>
        <w:t xml:space="preserve">substantially </w:t>
      </w:r>
      <w:r>
        <w:rPr>
          <w:sz w:val="24"/>
          <w:szCs w:val="24"/>
        </w:rPr>
        <w:t>increase fu</w:t>
      </w:r>
      <w:r w:rsidR="00B85E6A">
        <w:rPr>
          <w:sz w:val="24"/>
          <w:szCs w:val="24"/>
        </w:rPr>
        <w:t>nding</w:t>
      </w:r>
      <w:r>
        <w:rPr>
          <w:sz w:val="24"/>
          <w:szCs w:val="24"/>
        </w:rPr>
        <w:t xml:space="preserve"> for the scheme, widen its eligibility criteria </w:t>
      </w:r>
      <w:proofErr w:type="gramStart"/>
      <w:r>
        <w:rPr>
          <w:sz w:val="24"/>
          <w:szCs w:val="24"/>
        </w:rPr>
        <w:t>and also</w:t>
      </w:r>
      <w:proofErr w:type="gramEnd"/>
      <w:r>
        <w:rPr>
          <w:sz w:val="24"/>
          <w:szCs w:val="24"/>
        </w:rPr>
        <w:t xml:space="preserve"> restore qualification allowances to te</w:t>
      </w:r>
      <w:r w:rsidR="00B85E6A">
        <w:rPr>
          <w:sz w:val="24"/>
          <w:szCs w:val="24"/>
        </w:rPr>
        <w:t>ac</w:t>
      </w:r>
      <w:r>
        <w:rPr>
          <w:sz w:val="24"/>
          <w:szCs w:val="24"/>
        </w:rPr>
        <w:t>hers</w:t>
      </w:r>
      <w:r w:rsidR="000E0247">
        <w:rPr>
          <w:sz w:val="24"/>
          <w:szCs w:val="24"/>
        </w:rPr>
        <w:t>.</w:t>
      </w:r>
    </w:p>
    <w:p w14:paraId="2A3D6161" w14:textId="77777777" w:rsidR="000E0247" w:rsidRDefault="000E0247" w:rsidP="007D7C46">
      <w:pPr>
        <w:spacing w:line="360" w:lineRule="auto"/>
        <w:jc w:val="both"/>
        <w:rPr>
          <w:sz w:val="24"/>
          <w:szCs w:val="24"/>
        </w:rPr>
      </w:pPr>
    </w:p>
    <w:p w14:paraId="0FCD9C2F" w14:textId="77777777" w:rsidR="00E73014" w:rsidRPr="00F855DE" w:rsidRDefault="00E73014" w:rsidP="007D7C46">
      <w:pPr>
        <w:spacing w:line="360" w:lineRule="auto"/>
        <w:jc w:val="both"/>
        <w:rPr>
          <w:b/>
          <w:sz w:val="24"/>
          <w:szCs w:val="24"/>
        </w:rPr>
      </w:pPr>
      <w:r w:rsidRPr="00F855DE">
        <w:rPr>
          <w:b/>
          <w:sz w:val="24"/>
          <w:szCs w:val="24"/>
        </w:rPr>
        <w:t xml:space="preserve">Ends </w:t>
      </w:r>
    </w:p>
    <w:p w14:paraId="5DED77A9" w14:textId="77777777" w:rsidR="00E73014" w:rsidRPr="007D7C46" w:rsidRDefault="00BB24CC" w:rsidP="007D7C46">
      <w:pPr>
        <w:spacing w:line="360" w:lineRule="auto"/>
        <w:jc w:val="both"/>
        <w:rPr>
          <w:b/>
          <w:sz w:val="24"/>
          <w:szCs w:val="24"/>
        </w:rPr>
      </w:pPr>
      <w:r w:rsidRPr="007D7C46">
        <w:rPr>
          <w:b/>
          <w:sz w:val="24"/>
          <w:szCs w:val="24"/>
        </w:rPr>
        <w:t>David Duffy</w:t>
      </w:r>
      <w:r w:rsidR="00E73014" w:rsidRPr="007D7C46">
        <w:rPr>
          <w:b/>
          <w:sz w:val="24"/>
          <w:szCs w:val="24"/>
        </w:rPr>
        <w:t xml:space="preserve"> (Education/Research Officer, TUI)</w:t>
      </w:r>
      <w:r w:rsidR="00087033" w:rsidRPr="007D7C46">
        <w:rPr>
          <w:b/>
          <w:sz w:val="24"/>
          <w:szCs w:val="24"/>
        </w:rPr>
        <w:t xml:space="preserve">, </w:t>
      </w:r>
      <w:hyperlink r:id="rId8" w:history="1">
        <w:r w:rsidR="00383317" w:rsidRPr="007D7C46">
          <w:rPr>
            <w:rStyle w:val="Hyperlink"/>
            <w:sz w:val="24"/>
            <w:szCs w:val="24"/>
          </w:rPr>
          <w:t>dduffy@tui.ie</w:t>
        </w:r>
      </w:hyperlink>
      <w:r w:rsidR="00383317" w:rsidRPr="007D7C46">
        <w:rPr>
          <w:b/>
          <w:sz w:val="24"/>
          <w:szCs w:val="24"/>
        </w:rPr>
        <w:t>, 01 4922588</w:t>
      </w:r>
    </w:p>
    <w:p w14:paraId="7A147E42" w14:textId="77777777" w:rsidR="00A67B64" w:rsidRPr="007D7C46" w:rsidRDefault="00A67B64" w:rsidP="007D7C46">
      <w:pPr>
        <w:spacing w:line="360" w:lineRule="auto"/>
        <w:jc w:val="both"/>
        <w:rPr>
          <w:b/>
          <w:sz w:val="24"/>
          <w:szCs w:val="24"/>
        </w:rPr>
      </w:pPr>
    </w:p>
    <w:p w14:paraId="7F3CB172" w14:textId="4CFA2AD8" w:rsidR="00632D41" w:rsidRPr="007D7C46" w:rsidRDefault="00376762" w:rsidP="00B27078">
      <w:pPr>
        <w:rPr>
          <w:b/>
          <w:sz w:val="24"/>
          <w:szCs w:val="24"/>
        </w:rPr>
      </w:pPr>
      <w:r>
        <w:rPr>
          <w:b/>
          <w:sz w:val="24"/>
          <w:szCs w:val="24"/>
        </w:rPr>
        <w:br w:type="page"/>
      </w:r>
      <w:r w:rsidR="00632D41" w:rsidRPr="007D7C46">
        <w:rPr>
          <w:b/>
          <w:sz w:val="24"/>
          <w:szCs w:val="24"/>
        </w:rPr>
        <w:lastRenderedPageBreak/>
        <w:t>Glossary</w:t>
      </w:r>
    </w:p>
    <w:p w14:paraId="56704BD6" w14:textId="77777777" w:rsidR="001F3BFD" w:rsidRPr="007D7C46" w:rsidRDefault="001F3BFD" w:rsidP="001F3BFD">
      <w:pPr>
        <w:spacing w:line="360" w:lineRule="auto"/>
        <w:jc w:val="both"/>
        <w:rPr>
          <w:sz w:val="24"/>
          <w:szCs w:val="24"/>
        </w:rPr>
      </w:pPr>
      <w:r w:rsidRPr="007D7C46">
        <w:rPr>
          <w:sz w:val="24"/>
          <w:szCs w:val="24"/>
        </w:rPr>
        <w:t>C&amp;C</w:t>
      </w:r>
      <w:r w:rsidRPr="007D7C46">
        <w:rPr>
          <w:sz w:val="24"/>
          <w:szCs w:val="24"/>
        </w:rPr>
        <w:tab/>
      </w:r>
      <w:r w:rsidRPr="007D7C46">
        <w:rPr>
          <w:sz w:val="24"/>
          <w:szCs w:val="24"/>
        </w:rPr>
        <w:tab/>
        <w:t>Community and Comprehensive</w:t>
      </w:r>
    </w:p>
    <w:p w14:paraId="2D1A4076" w14:textId="77777777" w:rsidR="00632D41" w:rsidRPr="007D7C46" w:rsidRDefault="00632D41" w:rsidP="007D7C46">
      <w:pPr>
        <w:spacing w:line="360" w:lineRule="auto"/>
        <w:jc w:val="both"/>
        <w:rPr>
          <w:sz w:val="24"/>
          <w:szCs w:val="24"/>
        </w:rPr>
      </w:pPr>
      <w:r w:rsidRPr="007D7C46">
        <w:rPr>
          <w:sz w:val="24"/>
          <w:szCs w:val="24"/>
        </w:rPr>
        <w:t>DES</w:t>
      </w:r>
      <w:r w:rsidRPr="007D7C46">
        <w:rPr>
          <w:sz w:val="24"/>
          <w:szCs w:val="24"/>
        </w:rPr>
        <w:tab/>
      </w:r>
      <w:r w:rsidRPr="007D7C46">
        <w:rPr>
          <w:sz w:val="24"/>
          <w:szCs w:val="24"/>
        </w:rPr>
        <w:tab/>
        <w:t>Department of Education and Skills</w:t>
      </w:r>
    </w:p>
    <w:p w14:paraId="6327C209" w14:textId="77777777" w:rsidR="001F3BFD" w:rsidRPr="00B85E6A" w:rsidRDefault="001F3BFD" w:rsidP="001F3BFD">
      <w:pPr>
        <w:spacing w:line="360" w:lineRule="auto"/>
        <w:jc w:val="both"/>
        <w:rPr>
          <w:sz w:val="24"/>
          <w:szCs w:val="24"/>
        </w:rPr>
      </w:pPr>
      <w:r w:rsidRPr="00B85E6A">
        <w:rPr>
          <w:sz w:val="24"/>
          <w:szCs w:val="24"/>
        </w:rPr>
        <w:t>ETB</w:t>
      </w:r>
      <w:r w:rsidRPr="00B85E6A">
        <w:rPr>
          <w:sz w:val="24"/>
          <w:szCs w:val="24"/>
        </w:rPr>
        <w:tab/>
      </w:r>
      <w:r w:rsidRPr="00B85E6A">
        <w:rPr>
          <w:sz w:val="24"/>
          <w:szCs w:val="24"/>
        </w:rPr>
        <w:tab/>
        <w:t>Education and Training Board</w:t>
      </w:r>
    </w:p>
    <w:p w14:paraId="60722BE2" w14:textId="77777777" w:rsidR="00B85E6A" w:rsidRPr="00B85E6A" w:rsidRDefault="00B85E6A" w:rsidP="00B85E6A">
      <w:pPr>
        <w:spacing w:line="360" w:lineRule="auto"/>
        <w:jc w:val="both"/>
        <w:rPr>
          <w:sz w:val="24"/>
          <w:szCs w:val="24"/>
        </w:rPr>
      </w:pPr>
      <w:r w:rsidRPr="00B85E6A">
        <w:rPr>
          <w:sz w:val="24"/>
          <w:szCs w:val="24"/>
        </w:rPr>
        <w:t>PIAAC</w:t>
      </w:r>
      <w:r w:rsidRPr="00B85E6A">
        <w:rPr>
          <w:sz w:val="24"/>
          <w:szCs w:val="24"/>
        </w:rPr>
        <w:tab/>
      </w:r>
      <w:r w:rsidRPr="00B85E6A">
        <w:rPr>
          <w:sz w:val="24"/>
          <w:szCs w:val="24"/>
        </w:rPr>
        <w:tab/>
        <w:t>Programme for the International Assessment of Adult Competencies</w:t>
      </w:r>
    </w:p>
    <w:p w14:paraId="30C827C3" w14:textId="77777777" w:rsidR="00B85E6A" w:rsidRPr="00B85E6A" w:rsidRDefault="00B85E6A" w:rsidP="00B85E6A">
      <w:pPr>
        <w:spacing w:line="360" w:lineRule="auto"/>
        <w:jc w:val="both"/>
        <w:rPr>
          <w:sz w:val="24"/>
          <w:szCs w:val="24"/>
        </w:rPr>
      </w:pPr>
      <w:r w:rsidRPr="00B85E6A">
        <w:rPr>
          <w:sz w:val="24"/>
          <w:szCs w:val="24"/>
        </w:rPr>
        <w:t>PISA</w:t>
      </w:r>
      <w:r w:rsidRPr="00B85E6A">
        <w:rPr>
          <w:sz w:val="24"/>
          <w:szCs w:val="24"/>
        </w:rPr>
        <w:tab/>
      </w:r>
      <w:r w:rsidRPr="00B85E6A">
        <w:rPr>
          <w:sz w:val="24"/>
          <w:szCs w:val="24"/>
        </w:rPr>
        <w:tab/>
        <w:t>Programme for International Student Assessment</w:t>
      </w:r>
    </w:p>
    <w:p w14:paraId="07F1B0F6" w14:textId="77777777" w:rsidR="00B85E6A" w:rsidRPr="00B85E6A" w:rsidRDefault="00B85E6A" w:rsidP="00B85E6A">
      <w:pPr>
        <w:spacing w:line="360" w:lineRule="auto"/>
        <w:jc w:val="both"/>
        <w:rPr>
          <w:sz w:val="24"/>
          <w:szCs w:val="24"/>
        </w:rPr>
      </w:pPr>
      <w:r w:rsidRPr="00B85E6A">
        <w:rPr>
          <w:sz w:val="24"/>
          <w:szCs w:val="24"/>
        </w:rPr>
        <w:t>TIMSS</w:t>
      </w:r>
      <w:r w:rsidRPr="00B85E6A">
        <w:rPr>
          <w:sz w:val="24"/>
          <w:szCs w:val="24"/>
        </w:rPr>
        <w:tab/>
      </w:r>
      <w:r w:rsidRPr="00B85E6A">
        <w:rPr>
          <w:sz w:val="24"/>
          <w:szCs w:val="24"/>
        </w:rPr>
        <w:tab/>
        <w:t>Trends in International Mathematics and Science Study</w:t>
      </w:r>
    </w:p>
    <w:p w14:paraId="22A67458" w14:textId="77777777" w:rsidR="00B85E6A" w:rsidRPr="00B85E6A" w:rsidRDefault="00B85E6A" w:rsidP="007D7C46">
      <w:pPr>
        <w:spacing w:line="360" w:lineRule="auto"/>
        <w:jc w:val="both"/>
        <w:rPr>
          <w:sz w:val="24"/>
          <w:szCs w:val="24"/>
        </w:rPr>
      </w:pPr>
      <w:r w:rsidRPr="00B85E6A">
        <w:rPr>
          <w:sz w:val="24"/>
          <w:szCs w:val="24"/>
        </w:rPr>
        <w:t>TALIS</w:t>
      </w:r>
      <w:r w:rsidRPr="00B85E6A">
        <w:rPr>
          <w:sz w:val="24"/>
          <w:szCs w:val="24"/>
        </w:rPr>
        <w:tab/>
      </w:r>
      <w:r w:rsidRPr="00B85E6A">
        <w:rPr>
          <w:sz w:val="24"/>
          <w:szCs w:val="24"/>
        </w:rPr>
        <w:tab/>
        <w:t xml:space="preserve">Teaching and Learning International Study </w:t>
      </w:r>
    </w:p>
    <w:p w14:paraId="30C51DA1" w14:textId="15741DC3" w:rsidR="005B289F" w:rsidRPr="00B85E6A" w:rsidRDefault="005B289F" w:rsidP="007D7C46">
      <w:pPr>
        <w:spacing w:line="360" w:lineRule="auto"/>
        <w:jc w:val="both"/>
        <w:rPr>
          <w:sz w:val="24"/>
          <w:szCs w:val="24"/>
        </w:rPr>
      </w:pPr>
      <w:r w:rsidRPr="00B85E6A">
        <w:rPr>
          <w:sz w:val="24"/>
          <w:szCs w:val="24"/>
        </w:rPr>
        <w:t>TUI</w:t>
      </w:r>
      <w:r w:rsidRPr="00B85E6A">
        <w:rPr>
          <w:sz w:val="24"/>
          <w:szCs w:val="24"/>
        </w:rPr>
        <w:tab/>
      </w:r>
      <w:r w:rsidRPr="00B85E6A">
        <w:rPr>
          <w:sz w:val="24"/>
          <w:szCs w:val="24"/>
        </w:rPr>
        <w:tab/>
        <w:t>Teachers’ Union of Ireland</w:t>
      </w:r>
    </w:p>
    <w:p w14:paraId="67542052" w14:textId="52DA34CC" w:rsidR="00D317E4" w:rsidRPr="007D7C46" w:rsidRDefault="00D317E4" w:rsidP="007D7C46">
      <w:pPr>
        <w:spacing w:line="360" w:lineRule="auto"/>
        <w:jc w:val="both"/>
        <w:rPr>
          <w:b/>
          <w:sz w:val="24"/>
          <w:szCs w:val="24"/>
        </w:rPr>
      </w:pPr>
      <w:r w:rsidRPr="007D7C46">
        <w:rPr>
          <w:b/>
          <w:sz w:val="24"/>
          <w:szCs w:val="24"/>
        </w:rPr>
        <w:br w:type="page"/>
      </w:r>
    </w:p>
    <w:p w14:paraId="2168DF51" w14:textId="77777777" w:rsidR="00AC49BB" w:rsidRPr="007D7C46" w:rsidRDefault="00AC49BB" w:rsidP="007D7C46">
      <w:pPr>
        <w:spacing w:line="360" w:lineRule="auto"/>
        <w:jc w:val="both"/>
        <w:rPr>
          <w:b/>
          <w:sz w:val="24"/>
          <w:szCs w:val="24"/>
        </w:rPr>
      </w:pPr>
      <w:r w:rsidRPr="007D7C46">
        <w:rPr>
          <w:b/>
          <w:sz w:val="24"/>
          <w:szCs w:val="24"/>
        </w:rPr>
        <w:lastRenderedPageBreak/>
        <w:t>References</w:t>
      </w:r>
    </w:p>
    <w:p w14:paraId="2E4649D2" w14:textId="77777777" w:rsidR="005663E7" w:rsidRPr="00476435" w:rsidRDefault="005663E7" w:rsidP="00476435">
      <w:pPr>
        <w:autoSpaceDE w:val="0"/>
        <w:autoSpaceDN w:val="0"/>
        <w:adjustRightInd w:val="0"/>
        <w:spacing w:after="0" w:line="360" w:lineRule="auto"/>
        <w:jc w:val="both"/>
        <w:rPr>
          <w:rFonts w:cs="Arial"/>
          <w:color w:val="000000"/>
          <w:sz w:val="24"/>
          <w:szCs w:val="24"/>
        </w:rPr>
      </w:pPr>
      <w:bookmarkStart w:id="3" w:name="_Hlk531770913"/>
      <w:r w:rsidRPr="00476435">
        <w:rPr>
          <w:rFonts w:cs="Arial"/>
          <w:color w:val="000000"/>
          <w:sz w:val="24"/>
          <w:szCs w:val="24"/>
        </w:rPr>
        <w:t xml:space="preserve">Boyle (2017), </w:t>
      </w:r>
      <w:r w:rsidRPr="00476435">
        <w:rPr>
          <w:rFonts w:cs="Arial"/>
          <w:i/>
          <w:color w:val="000000"/>
          <w:sz w:val="24"/>
          <w:szCs w:val="24"/>
        </w:rPr>
        <w:t>Public Sector Trends 2017</w:t>
      </w:r>
      <w:r w:rsidRPr="00476435">
        <w:rPr>
          <w:rFonts w:cs="Arial"/>
          <w:color w:val="000000"/>
          <w:sz w:val="24"/>
          <w:szCs w:val="24"/>
        </w:rPr>
        <w:t>, Dublin: Institute of Public Administration</w:t>
      </w:r>
    </w:p>
    <w:p w14:paraId="598ACD9C" w14:textId="77777777" w:rsidR="00B47744" w:rsidRPr="00476435" w:rsidRDefault="00B47744" w:rsidP="00476435">
      <w:pPr>
        <w:autoSpaceDE w:val="0"/>
        <w:autoSpaceDN w:val="0"/>
        <w:adjustRightInd w:val="0"/>
        <w:spacing w:after="0" w:line="360" w:lineRule="auto"/>
        <w:jc w:val="both"/>
        <w:rPr>
          <w:rFonts w:cs="Arial"/>
          <w:color w:val="000000"/>
          <w:sz w:val="24"/>
          <w:szCs w:val="24"/>
        </w:rPr>
      </w:pPr>
      <w:r w:rsidRPr="00476435">
        <w:rPr>
          <w:rFonts w:cs="Arial"/>
          <w:color w:val="000000"/>
          <w:sz w:val="24"/>
          <w:szCs w:val="24"/>
        </w:rPr>
        <w:t xml:space="preserve">Boyle (2018), </w:t>
      </w:r>
      <w:r w:rsidRPr="00476435">
        <w:rPr>
          <w:rFonts w:cs="Arial"/>
          <w:i/>
          <w:color w:val="000000"/>
          <w:sz w:val="24"/>
          <w:szCs w:val="24"/>
        </w:rPr>
        <w:t>Public Sector Trends 2018</w:t>
      </w:r>
      <w:r w:rsidRPr="00476435">
        <w:rPr>
          <w:rFonts w:cs="Arial"/>
          <w:color w:val="000000"/>
          <w:sz w:val="24"/>
          <w:szCs w:val="24"/>
        </w:rPr>
        <w:t>, Dublin: Institute of Public Administration</w:t>
      </w:r>
    </w:p>
    <w:bookmarkEnd w:id="3"/>
    <w:p w14:paraId="474C6D7E" w14:textId="77777777" w:rsidR="005663E7" w:rsidRPr="00476435" w:rsidRDefault="005663E7" w:rsidP="00476435">
      <w:pPr>
        <w:spacing w:after="200" w:line="360" w:lineRule="auto"/>
        <w:jc w:val="both"/>
        <w:rPr>
          <w:rFonts w:cs="Arial"/>
          <w:sz w:val="24"/>
          <w:szCs w:val="24"/>
        </w:rPr>
      </w:pPr>
      <w:proofErr w:type="spellStart"/>
      <w:r w:rsidRPr="00476435">
        <w:rPr>
          <w:rFonts w:cs="Arial"/>
          <w:sz w:val="24"/>
          <w:szCs w:val="24"/>
        </w:rPr>
        <w:t>Comhairle</w:t>
      </w:r>
      <w:proofErr w:type="spellEnd"/>
      <w:r w:rsidRPr="00476435">
        <w:rPr>
          <w:rFonts w:cs="Arial"/>
          <w:sz w:val="24"/>
          <w:szCs w:val="24"/>
        </w:rPr>
        <w:t xml:space="preserve"> </w:t>
      </w:r>
      <w:proofErr w:type="spellStart"/>
      <w:r w:rsidRPr="00476435">
        <w:rPr>
          <w:rFonts w:cs="Arial"/>
          <w:sz w:val="24"/>
          <w:szCs w:val="24"/>
        </w:rPr>
        <w:t>na</w:t>
      </w:r>
      <w:proofErr w:type="spellEnd"/>
      <w:r w:rsidRPr="00476435">
        <w:rPr>
          <w:rFonts w:cs="Arial"/>
          <w:sz w:val="24"/>
          <w:szCs w:val="24"/>
        </w:rPr>
        <w:t xml:space="preserve"> </w:t>
      </w:r>
      <w:proofErr w:type="spellStart"/>
      <w:r w:rsidRPr="00476435">
        <w:rPr>
          <w:rFonts w:cs="Arial"/>
          <w:sz w:val="24"/>
          <w:szCs w:val="24"/>
        </w:rPr>
        <w:t>nOg</w:t>
      </w:r>
      <w:proofErr w:type="spellEnd"/>
      <w:r w:rsidRPr="00476435">
        <w:rPr>
          <w:rFonts w:cs="Arial"/>
          <w:sz w:val="24"/>
          <w:szCs w:val="24"/>
        </w:rPr>
        <w:t xml:space="preserve"> (2017), </w:t>
      </w:r>
      <w:r w:rsidRPr="00476435">
        <w:rPr>
          <w:rFonts w:cs="Arial"/>
          <w:i/>
          <w:sz w:val="24"/>
          <w:szCs w:val="24"/>
        </w:rPr>
        <w:t>So, How Was School Today?</w:t>
      </w:r>
      <w:r w:rsidRPr="00476435">
        <w:rPr>
          <w:rFonts w:cs="Arial"/>
          <w:sz w:val="24"/>
          <w:szCs w:val="24"/>
        </w:rPr>
        <w:t xml:space="preserve"> Dublin: Department of Children and Youth Affairs </w:t>
      </w:r>
    </w:p>
    <w:p w14:paraId="6794296F" w14:textId="77777777" w:rsidR="00207614" w:rsidRPr="00476435" w:rsidRDefault="00207614" w:rsidP="00476435">
      <w:pPr>
        <w:spacing w:line="360" w:lineRule="auto"/>
        <w:jc w:val="both"/>
        <w:rPr>
          <w:sz w:val="24"/>
          <w:szCs w:val="24"/>
        </w:rPr>
      </w:pPr>
      <w:r w:rsidRPr="00476435">
        <w:rPr>
          <w:rFonts w:cs="Arial"/>
          <w:sz w:val="24"/>
          <w:szCs w:val="24"/>
        </w:rPr>
        <w:t xml:space="preserve">CSO (2009), </w:t>
      </w:r>
      <w:r w:rsidRPr="00476435">
        <w:rPr>
          <w:rFonts w:cs="Arial"/>
          <w:i/>
          <w:sz w:val="24"/>
          <w:szCs w:val="24"/>
        </w:rPr>
        <w:t>Children and Young People in Ireland 2008</w:t>
      </w:r>
      <w:r w:rsidRPr="00476435">
        <w:rPr>
          <w:rFonts w:cs="Arial"/>
          <w:sz w:val="24"/>
          <w:szCs w:val="24"/>
        </w:rPr>
        <w:t>, Cork: Central Statistics Office</w:t>
      </w:r>
      <w:r w:rsidRPr="00476435">
        <w:rPr>
          <w:sz w:val="24"/>
          <w:szCs w:val="24"/>
        </w:rPr>
        <w:t xml:space="preserve"> </w:t>
      </w:r>
    </w:p>
    <w:p w14:paraId="3A0686DA" w14:textId="77777777" w:rsidR="00207614" w:rsidRPr="00476435" w:rsidRDefault="00C2074B" w:rsidP="00476435">
      <w:pPr>
        <w:spacing w:line="360" w:lineRule="auto"/>
        <w:jc w:val="both"/>
        <w:rPr>
          <w:sz w:val="24"/>
          <w:szCs w:val="24"/>
        </w:rPr>
      </w:pPr>
      <w:r w:rsidRPr="00476435">
        <w:rPr>
          <w:sz w:val="24"/>
          <w:szCs w:val="24"/>
        </w:rPr>
        <w:t>CSO (2017</w:t>
      </w:r>
      <w:r w:rsidR="00207614" w:rsidRPr="00476435">
        <w:rPr>
          <w:sz w:val="24"/>
          <w:szCs w:val="24"/>
        </w:rPr>
        <w:t xml:space="preserve">), </w:t>
      </w:r>
      <w:r w:rsidR="00207614" w:rsidRPr="00476435">
        <w:rPr>
          <w:i/>
          <w:sz w:val="24"/>
          <w:szCs w:val="24"/>
        </w:rPr>
        <w:t>Vita</w:t>
      </w:r>
      <w:r w:rsidRPr="00476435">
        <w:rPr>
          <w:i/>
          <w:sz w:val="24"/>
          <w:szCs w:val="24"/>
        </w:rPr>
        <w:t>l Statistics Yearly Summary 2016</w:t>
      </w:r>
      <w:r w:rsidR="00207614" w:rsidRPr="00476435">
        <w:rPr>
          <w:sz w:val="24"/>
          <w:szCs w:val="24"/>
        </w:rPr>
        <w:t>, Cork: Central Statistics Office</w:t>
      </w:r>
    </w:p>
    <w:p w14:paraId="277038E1" w14:textId="77777777" w:rsidR="000B70CE" w:rsidRPr="00476435" w:rsidRDefault="000B70CE" w:rsidP="00476435">
      <w:pPr>
        <w:pStyle w:val="Default"/>
        <w:spacing w:line="360" w:lineRule="auto"/>
        <w:jc w:val="both"/>
        <w:rPr>
          <w:rFonts w:asciiTheme="minorHAnsi" w:hAnsiTheme="minorHAnsi" w:cstheme="minorBidi"/>
          <w:color w:val="auto"/>
        </w:rPr>
      </w:pPr>
      <w:r w:rsidRPr="00476435">
        <w:rPr>
          <w:rFonts w:asciiTheme="minorHAnsi" w:hAnsiTheme="minorHAnsi" w:cstheme="minorBidi"/>
          <w:color w:val="auto"/>
        </w:rPr>
        <w:t xml:space="preserve">DES (2012), </w:t>
      </w:r>
      <w:r w:rsidRPr="00476435">
        <w:rPr>
          <w:rFonts w:asciiTheme="minorHAnsi" w:hAnsiTheme="minorHAnsi" w:cstheme="minorBidi"/>
          <w:i/>
          <w:color w:val="auto"/>
        </w:rPr>
        <w:t>Projections of Full-Time Enrolment: Primary and Second Level 2012-2030</w:t>
      </w:r>
      <w:r w:rsidRPr="00476435">
        <w:rPr>
          <w:rFonts w:asciiTheme="minorHAnsi" w:hAnsiTheme="minorHAnsi" w:cstheme="minorBidi"/>
          <w:color w:val="auto"/>
        </w:rPr>
        <w:t>, Dublin: Department of Education and Skills</w:t>
      </w:r>
    </w:p>
    <w:p w14:paraId="7CC58769" w14:textId="77777777" w:rsidR="000B70CE" w:rsidRPr="00476435" w:rsidRDefault="00B1597F" w:rsidP="00476435">
      <w:pPr>
        <w:pStyle w:val="Default"/>
        <w:spacing w:line="360" w:lineRule="auto"/>
        <w:jc w:val="both"/>
        <w:rPr>
          <w:rFonts w:asciiTheme="minorHAnsi" w:hAnsiTheme="minorHAnsi" w:cstheme="minorBidi"/>
          <w:color w:val="auto"/>
        </w:rPr>
      </w:pPr>
      <w:r>
        <w:rPr>
          <w:rFonts w:asciiTheme="minorHAnsi" w:hAnsiTheme="minorHAnsi" w:cstheme="minorBidi"/>
          <w:color w:val="auto"/>
        </w:rPr>
        <w:t>DES (2017</w:t>
      </w:r>
      <w:r w:rsidR="000B70CE" w:rsidRPr="00476435">
        <w:rPr>
          <w:rFonts w:asciiTheme="minorHAnsi" w:hAnsiTheme="minorHAnsi" w:cstheme="minorBidi"/>
          <w:color w:val="auto"/>
        </w:rPr>
        <w:t xml:space="preserve">), </w:t>
      </w:r>
      <w:r w:rsidR="000B70CE" w:rsidRPr="00476435">
        <w:rPr>
          <w:rFonts w:asciiTheme="minorHAnsi" w:hAnsiTheme="minorHAnsi" w:cstheme="minorBidi"/>
          <w:i/>
          <w:color w:val="auto"/>
        </w:rPr>
        <w:t>Projections of Full-Time Enrolment: Primary and Second Level 2017-2035</w:t>
      </w:r>
      <w:r w:rsidR="000B70CE" w:rsidRPr="00476435">
        <w:rPr>
          <w:rFonts w:asciiTheme="minorHAnsi" w:hAnsiTheme="minorHAnsi" w:cstheme="minorBidi"/>
          <w:color w:val="auto"/>
        </w:rPr>
        <w:t>, Dublin: Department of Education and Skills</w:t>
      </w:r>
    </w:p>
    <w:p w14:paraId="40E8B298" w14:textId="77777777" w:rsidR="00BE44E7" w:rsidRPr="00476435" w:rsidRDefault="00BE44E7" w:rsidP="00476435">
      <w:pPr>
        <w:spacing w:line="360" w:lineRule="auto"/>
        <w:jc w:val="both"/>
        <w:rPr>
          <w:rFonts w:cs="Arial"/>
          <w:sz w:val="24"/>
          <w:szCs w:val="24"/>
        </w:rPr>
      </w:pPr>
      <w:bookmarkStart w:id="4" w:name="_Hlk532475617"/>
      <w:r w:rsidRPr="00476435">
        <w:rPr>
          <w:sz w:val="24"/>
          <w:szCs w:val="24"/>
        </w:rPr>
        <w:t>DES (2018</w:t>
      </w:r>
      <w:r w:rsidR="00383C04" w:rsidRPr="00476435">
        <w:rPr>
          <w:sz w:val="24"/>
          <w:szCs w:val="24"/>
        </w:rPr>
        <w:t>a</w:t>
      </w:r>
      <w:r w:rsidRPr="00476435">
        <w:rPr>
          <w:sz w:val="24"/>
          <w:szCs w:val="24"/>
        </w:rPr>
        <w:t xml:space="preserve">), </w:t>
      </w:r>
      <w:r w:rsidRPr="00476435">
        <w:rPr>
          <w:i/>
          <w:sz w:val="24"/>
          <w:szCs w:val="24"/>
        </w:rPr>
        <w:t>Chief Inspector’s Report 2013-2016</w:t>
      </w:r>
      <w:r w:rsidRPr="00476435">
        <w:rPr>
          <w:sz w:val="24"/>
          <w:szCs w:val="24"/>
        </w:rPr>
        <w:t>, Dublin: Department of Education and Skills Inspectorate</w:t>
      </w:r>
      <w:r w:rsidRPr="00476435">
        <w:rPr>
          <w:rFonts w:cs="Arial"/>
          <w:sz w:val="24"/>
          <w:szCs w:val="24"/>
        </w:rPr>
        <w:t xml:space="preserve"> </w:t>
      </w:r>
    </w:p>
    <w:p w14:paraId="3A1836FA" w14:textId="77777777" w:rsidR="00383C04" w:rsidRPr="00476435" w:rsidRDefault="00383C04" w:rsidP="00476435">
      <w:pPr>
        <w:spacing w:line="360" w:lineRule="auto"/>
        <w:jc w:val="both"/>
        <w:rPr>
          <w:rFonts w:cs="Arial"/>
          <w:sz w:val="24"/>
          <w:szCs w:val="24"/>
        </w:rPr>
      </w:pPr>
      <w:bookmarkStart w:id="5" w:name="_Hlk531771345"/>
      <w:bookmarkEnd w:id="4"/>
      <w:r w:rsidRPr="00476435">
        <w:rPr>
          <w:sz w:val="24"/>
          <w:szCs w:val="24"/>
        </w:rPr>
        <w:t xml:space="preserve">DES (2018b), </w:t>
      </w:r>
      <w:r w:rsidRPr="00476435">
        <w:rPr>
          <w:i/>
          <w:sz w:val="24"/>
          <w:szCs w:val="24"/>
        </w:rPr>
        <w:t xml:space="preserve">Opening Statement to the Joint Oireachtas Committee on Education and Skills, </w:t>
      </w:r>
      <w:r w:rsidRPr="00476435">
        <w:rPr>
          <w:sz w:val="24"/>
          <w:szCs w:val="24"/>
        </w:rPr>
        <w:t>August 29</w:t>
      </w:r>
      <w:r w:rsidRPr="00476435">
        <w:rPr>
          <w:sz w:val="24"/>
          <w:szCs w:val="24"/>
          <w:vertAlign w:val="superscript"/>
        </w:rPr>
        <w:t>th</w:t>
      </w:r>
      <w:proofErr w:type="gramStart"/>
      <w:r w:rsidRPr="00476435">
        <w:rPr>
          <w:sz w:val="24"/>
          <w:szCs w:val="24"/>
        </w:rPr>
        <w:t xml:space="preserve"> 2018</w:t>
      </w:r>
      <w:proofErr w:type="gramEnd"/>
      <w:r w:rsidRPr="00476435">
        <w:rPr>
          <w:rFonts w:cs="Arial"/>
          <w:sz w:val="24"/>
          <w:szCs w:val="24"/>
        </w:rPr>
        <w:t xml:space="preserve"> </w:t>
      </w:r>
    </w:p>
    <w:p w14:paraId="3BCBB3F4" w14:textId="77777777" w:rsidR="0089023E" w:rsidRPr="00476435" w:rsidRDefault="0089023E" w:rsidP="00476435">
      <w:pPr>
        <w:autoSpaceDE w:val="0"/>
        <w:autoSpaceDN w:val="0"/>
        <w:adjustRightInd w:val="0"/>
        <w:spacing w:after="0" w:line="360" w:lineRule="auto"/>
        <w:rPr>
          <w:rFonts w:eastAsia="BrandonGrotesque-Regular" w:cs="Arial"/>
          <w:sz w:val="24"/>
          <w:szCs w:val="24"/>
        </w:rPr>
      </w:pPr>
      <w:bookmarkStart w:id="6" w:name="_Hlk531771171"/>
      <w:bookmarkEnd w:id="5"/>
      <w:r w:rsidRPr="00476435">
        <w:rPr>
          <w:rFonts w:eastAsia="BrandonGrotesque-Regular" w:cs="Arial"/>
          <w:sz w:val="24"/>
          <w:szCs w:val="24"/>
        </w:rPr>
        <w:t xml:space="preserve">EU Commission (2018), </w:t>
      </w:r>
      <w:r w:rsidRPr="00476435">
        <w:rPr>
          <w:rFonts w:eastAsia="BrandonGrotesque-Regular" w:cs="Arial"/>
          <w:i/>
          <w:sz w:val="24"/>
          <w:szCs w:val="24"/>
        </w:rPr>
        <w:t>Labour Market Policy Thematic Review 2018</w:t>
      </w:r>
      <w:r w:rsidRPr="00476435">
        <w:rPr>
          <w:rFonts w:eastAsia="BrandonGrotesque-Regular" w:cs="Arial"/>
          <w:sz w:val="24"/>
          <w:szCs w:val="24"/>
        </w:rPr>
        <w:t>, Luxembourg: Publications Office of the European Union</w:t>
      </w:r>
    </w:p>
    <w:p w14:paraId="1E6D4455" w14:textId="77777777" w:rsidR="00D05374" w:rsidRDefault="00D05374" w:rsidP="00476435">
      <w:pPr>
        <w:spacing w:line="360" w:lineRule="auto"/>
        <w:jc w:val="both"/>
        <w:rPr>
          <w:rFonts w:ascii="Calibri" w:hAnsi="Calibri" w:cs="Arial"/>
          <w:sz w:val="24"/>
          <w:szCs w:val="24"/>
        </w:rPr>
      </w:pPr>
      <w:bookmarkStart w:id="7" w:name="_Hlk531771056"/>
      <w:bookmarkEnd w:id="6"/>
      <w:r>
        <w:rPr>
          <w:rFonts w:ascii="Calibri" w:eastAsia="BrandonGrotesque-Regular" w:hAnsi="Calibri" w:cs="Arial"/>
          <w:sz w:val="24"/>
          <w:szCs w:val="24"/>
        </w:rPr>
        <w:t xml:space="preserve">EU Commission (2019), </w:t>
      </w:r>
      <w:r>
        <w:rPr>
          <w:rFonts w:ascii="Calibri" w:eastAsia="BrandonGrotesque-Regular" w:hAnsi="Calibri" w:cs="Arial"/>
          <w:i/>
          <w:sz w:val="24"/>
          <w:szCs w:val="24"/>
        </w:rPr>
        <w:t>Country Report Ireland 2019</w:t>
      </w:r>
      <w:r>
        <w:rPr>
          <w:rFonts w:ascii="Calibri" w:eastAsia="BrandonGrotesque-Regular" w:hAnsi="Calibri" w:cs="Arial"/>
          <w:sz w:val="24"/>
          <w:szCs w:val="24"/>
        </w:rPr>
        <w:t>, Brussels: European Commission</w:t>
      </w:r>
      <w:r>
        <w:rPr>
          <w:rFonts w:ascii="Calibri" w:hAnsi="Calibri" w:cs="Arial"/>
          <w:sz w:val="24"/>
          <w:szCs w:val="24"/>
        </w:rPr>
        <w:t xml:space="preserve"> </w:t>
      </w:r>
    </w:p>
    <w:p w14:paraId="10C3748E" w14:textId="20D17474" w:rsidR="00E45461" w:rsidRPr="00476435" w:rsidRDefault="00E45461" w:rsidP="00476435">
      <w:pPr>
        <w:spacing w:line="360" w:lineRule="auto"/>
        <w:jc w:val="both"/>
        <w:rPr>
          <w:sz w:val="24"/>
          <w:szCs w:val="24"/>
        </w:rPr>
      </w:pPr>
      <w:r w:rsidRPr="00476435">
        <w:rPr>
          <w:rFonts w:cs="Arial"/>
          <w:sz w:val="24"/>
          <w:szCs w:val="24"/>
        </w:rPr>
        <w:t xml:space="preserve">EU Commission / EACEA / Eurydice (2018), </w:t>
      </w:r>
      <w:r w:rsidRPr="00476435">
        <w:rPr>
          <w:rFonts w:cs="Arial"/>
          <w:i/>
          <w:sz w:val="24"/>
          <w:szCs w:val="24"/>
        </w:rPr>
        <w:t>The European Higher Education Area in 2018: Bologna process implementation report</w:t>
      </w:r>
      <w:r w:rsidRPr="00476435">
        <w:rPr>
          <w:rFonts w:cs="Arial"/>
          <w:sz w:val="24"/>
          <w:szCs w:val="24"/>
        </w:rPr>
        <w:t>, Luxembourg: Publications Office of the European Union</w:t>
      </w:r>
      <w:bookmarkEnd w:id="7"/>
      <w:r w:rsidRPr="00476435">
        <w:rPr>
          <w:sz w:val="24"/>
          <w:szCs w:val="24"/>
        </w:rPr>
        <w:t xml:space="preserve"> </w:t>
      </w:r>
    </w:p>
    <w:p w14:paraId="355B280E" w14:textId="77777777" w:rsidR="00BE44E7" w:rsidRPr="00476435" w:rsidRDefault="00AC6DA7" w:rsidP="00476435">
      <w:pPr>
        <w:spacing w:line="360" w:lineRule="auto"/>
        <w:jc w:val="both"/>
        <w:rPr>
          <w:sz w:val="24"/>
          <w:szCs w:val="24"/>
        </w:rPr>
      </w:pPr>
      <w:r w:rsidRPr="00476435">
        <w:rPr>
          <w:sz w:val="24"/>
          <w:szCs w:val="24"/>
        </w:rPr>
        <w:t>Eurostat (2015</w:t>
      </w:r>
      <w:r w:rsidR="00BE44E7" w:rsidRPr="00476435">
        <w:rPr>
          <w:sz w:val="24"/>
          <w:szCs w:val="24"/>
        </w:rPr>
        <w:t xml:space="preserve">), </w:t>
      </w:r>
      <w:r w:rsidR="00BE44E7" w:rsidRPr="00476435">
        <w:rPr>
          <w:i/>
          <w:sz w:val="24"/>
          <w:szCs w:val="24"/>
        </w:rPr>
        <w:t>Being Young in Europe Today</w:t>
      </w:r>
      <w:r w:rsidR="00BE44E7" w:rsidRPr="00476435">
        <w:rPr>
          <w:sz w:val="24"/>
          <w:szCs w:val="24"/>
        </w:rPr>
        <w:t>, Luxembourg: Publications Office of the European Union</w:t>
      </w:r>
    </w:p>
    <w:p w14:paraId="051C6AF8" w14:textId="77777777" w:rsidR="00F95C41" w:rsidRPr="00476435" w:rsidRDefault="00BE44E7" w:rsidP="00476435">
      <w:pPr>
        <w:spacing w:line="360" w:lineRule="auto"/>
        <w:jc w:val="both"/>
        <w:rPr>
          <w:sz w:val="24"/>
          <w:szCs w:val="24"/>
        </w:rPr>
      </w:pPr>
      <w:r w:rsidRPr="00476435">
        <w:rPr>
          <w:sz w:val="24"/>
          <w:szCs w:val="24"/>
        </w:rPr>
        <w:t xml:space="preserve">Eurostat (2017), </w:t>
      </w:r>
      <w:r w:rsidRPr="00476435">
        <w:rPr>
          <w:i/>
          <w:sz w:val="24"/>
          <w:szCs w:val="24"/>
        </w:rPr>
        <w:t>Fertility Statistics</w:t>
      </w:r>
      <w:r w:rsidRPr="00476435">
        <w:rPr>
          <w:sz w:val="24"/>
          <w:szCs w:val="24"/>
        </w:rPr>
        <w:t>, Luxembourg: Publications Office of the European Union</w:t>
      </w:r>
    </w:p>
    <w:p w14:paraId="5E9D0F0A" w14:textId="77777777" w:rsidR="005663E7" w:rsidRPr="00476435" w:rsidRDefault="005663E7" w:rsidP="00476435">
      <w:pPr>
        <w:spacing w:line="360" w:lineRule="auto"/>
        <w:jc w:val="both"/>
        <w:rPr>
          <w:rFonts w:cs="Arial"/>
          <w:sz w:val="24"/>
          <w:szCs w:val="24"/>
        </w:rPr>
      </w:pPr>
      <w:bookmarkStart w:id="8" w:name="_Hlk531770941"/>
      <w:r w:rsidRPr="00476435">
        <w:rPr>
          <w:rFonts w:cs="Arial"/>
          <w:sz w:val="24"/>
          <w:szCs w:val="24"/>
        </w:rPr>
        <w:t xml:space="preserve">Growing Up in Ireland (2017), </w:t>
      </w:r>
      <w:r w:rsidRPr="00476435">
        <w:rPr>
          <w:rFonts w:cs="Arial"/>
          <w:i/>
          <w:sz w:val="24"/>
          <w:szCs w:val="24"/>
        </w:rPr>
        <w:t>Key Findings: Infant cohort at 7/8 years, School and learning</w:t>
      </w:r>
      <w:r w:rsidRPr="00476435">
        <w:rPr>
          <w:rFonts w:cs="Arial"/>
          <w:sz w:val="24"/>
          <w:szCs w:val="24"/>
        </w:rPr>
        <w:t xml:space="preserve">, Dublin: ESRI </w:t>
      </w:r>
    </w:p>
    <w:bookmarkEnd w:id="8"/>
    <w:p w14:paraId="51B31A9A" w14:textId="0FC0EB6C" w:rsidR="00D077AC" w:rsidRPr="00476435" w:rsidRDefault="00D077AC" w:rsidP="00D077AC">
      <w:pPr>
        <w:spacing w:line="360" w:lineRule="auto"/>
        <w:jc w:val="both"/>
        <w:rPr>
          <w:rFonts w:cs="Arial"/>
          <w:sz w:val="24"/>
          <w:szCs w:val="24"/>
        </w:rPr>
      </w:pPr>
      <w:r>
        <w:rPr>
          <w:rFonts w:cs="Arial"/>
          <w:sz w:val="24"/>
          <w:szCs w:val="24"/>
        </w:rPr>
        <w:t>Growing Up in Ireland (2018</w:t>
      </w:r>
      <w:r w:rsidRPr="00476435">
        <w:rPr>
          <w:rFonts w:cs="Arial"/>
          <w:sz w:val="24"/>
          <w:szCs w:val="24"/>
        </w:rPr>
        <w:t xml:space="preserve">), </w:t>
      </w:r>
      <w:r>
        <w:rPr>
          <w:rFonts w:cs="Arial"/>
          <w:i/>
          <w:sz w:val="24"/>
          <w:szCs w:val="24"/>
        </w:rPr>
        <w:t>The Lives of 13-year-olds</w:t>
      </w:r>
      <w:r w:rsidRPr="00476435">
        <w:rPr>
          <w:rFonts w:cs="Arial"/>
          <w:sz w:val="24"/>
          <w:szCs w:val="24"/>
        </w:rPr>
        <w:t xml:space="preserve">, Dublin: ESRI </w:t>
      </w:r>
    </w:p>
    <w:p w14:paraId="09F6D56F" w14:textId="77777777" w:rsidR="00383C04" w:rsidRPr="00476435" w:rsidRDefault="00383C04" w:rsidP="00476435">
      <w:pPr>
        <w:autoSpaceDE w:val="0"/>
        <w:autoSpaceDN w:val="0"/>
        <w:adjustRightInd w:val="0"/>
        <w:spacing w:after="0" w:line="360" w:lineRule="auto"/>
        <w:jc w:val="both"/>
        <w:rPr>
          <w:rFonts w:cs="Arial"/>
          <w:sz w:val="24"/>
          <w:szCs w:val="24"/>
        </w:rPr>
      </w:pPr>
      <w:r w:rsidRPr="00476435">
        <w:rPr>
          <w:rFonts w:cs="Arial"/>
          <w:sz w:val="24"/>
          <w:szCs w:val="24"/>
        </w:rPr>
        <w:lastRenderedPageBreak/>
        <w:t xml:space="preserve">Kantar Millward Brown (2018), </w:t>
      </w:r>
      <w:r w:rsidRPr="00476435">
        <w:rPr>
          <w:rFonts w:cs="Arial"/>
          <w:i/>
          <w:sz w:val="24"/>
          <w:szCs w:val="24"/>
        </w:rPr>
        <w:t>Our Faith in Institutions</w:t>
      </w:r>
      <w:r w:rsidRPr="00476435">
        <w:rPr>
          <w:rFonts w:cs="Arial"/>
          <w:sz w:val="24"/>
          <w:szCs w:val="24"/>
        </w:rPr>
        <w:t>, Dublin: Kantar Millward Brown</w:t>
      </w:r>
    </w:p>
    <w:p w14:paraId="5D66BDBB" w14:textId="77777777" w:rsidR="004B21D7" w:rsidRPr="00476435" w:rsidRDefault="00F95C41" w:rsidP="00476435">
      <w:pPr>
        <w:spacing w:line="360" w:lineRule="auto"/>
        <w:jc w:val="both"/>
        <w:rPr>
          <w:sz w:val="24"/>
          <w:szCs w:val="24"/>
        </w:rPr>
      </w:pPr>
      <w:r w:rsidRPr="00476435">
        <w:rPr>
          <w:sz w:val="24"/>
          <w:szCs w:val="24"/>
        </w:rPr>
        <w:t>NCSE (2014</w:t>
      </w:r>
      <w:r w:rsidR="004B21D7" w:rsidRPr="00476435">
        <w:rPr>
          <w:sz w:val="24"/>
          <w:szCs w:val="24"/>
        </w:rPr>
        <w:t xml:space="preserve">), </w:t>
      </w:r>
      <w:r w:rsidR="00632D41" w:rsidRPr="00476435">
        <w:rPr>
          <w:rFonts w:cs="Arial"/>
          <w:i/>
          <w:sz w:val="24"/>
          <w:szCs w:val="24"/>
        </w:rPr>
        <w:t>Delivery for Students with Special Educational Needs</w:t>
      </w:r>
      <w:r w:rsidR="00632D41" w:rsidRPr="00476435">
        <w:rPr>
          <w:rFonts w:cs="Arial"/>
          <w:sz w:val="24"/>
          <w:szCs w:val="24"/>
        </w:rPr>
        <w:t>, Trim: National Council for Special Education</w:t>
      </w:r>
    </w:p>
    <w:p w14:paraId="49898C2E" w14:textId="77777777" w:rsidR="00B31A73" w:rsidRPr="00476435" w:rsidRDefault="00B31A73" w:rsidP="00476435">
      <w:pPr>
        <w:spacing w:line="360" w:lineRule="auto"/>
        <w:rPr>
          <w:rFonts w:cs="Arial"/>
          <w:sz w:val="24"/>
          <w:szCs w:val="24"/>
          <w:lang w:val="en-US"/>
        </w:rPr>
      </w:pPr>
      <w:r w:rsidRPr="00476435">
        <w:rPr>
          <w:rFonts w:cs="Arial"/>
          <w:sz w:val="24"/>
          <w:szCs w:val="24"/>
        </w:rPr>
        <w:t xml:space="preserve">NERI (2018), </w:t>
      </w:r>
      <w:r w:rsidRPr="00476435">
        <w:rPr>
          <w:rFonts w:cs="Arial"/>
          <w:i/>
          <w:sz w:val="24"/>
          <w:szCs w:val="24"/>
        </w:rPr>
        <w:t>Quarterly Economic Observer, Summer 2018</w:t>
      </w:r>
      <w:r w:rsidRPr="00476435">
        <w:rPr>
          <w:rFonts w:cs="Arial"/>
          <w:sz w:val="24"/>
          <w:szCs w:val="24"/>
        </w:rPr>
        <w:t>, Dublin: Nevin Economic Research Institute</w:t>
      </w:r>
      <w:r w:rsidRPr="00476435">
        <w:rPr>
          <w:rFonts w:cs="Arial"/>
          <w:sz w:val="24"/>
          <w:szCs w:val="24"/>
          <w:lang w:val="en-US"/>
        </w:rPr>
        <w:t xml:space="preserve"> </w:t>
      </w:r>
    </w:p>
    <w:p w14:paraId="200A604C" w14:textId="77777777" w:rsidR="005663E7" w:rsidRPr="00476435" w:rsidRDefault="005663E7" w:rsidP="00476435">
      <w:pPr>
        <w:spacing w:after="200" w:line="360" w:lineRule="auto"/>
        <w:jc w:val="both"/>
        <w:rPr>
          <w:sz w:val="24"/>
          <w:szCs w:val="24"/>
        </w:rPr>
      </w:pPr>
      <w:r w:rsidRPr="00476435">
        <w:rPr>
          <w:sz w:val="24"/>
          <w:szCs w:val="24"/>
        </w:rPr>
        <w:t xml:space="preserve">OECD (2009), </w:t>
      </w:r>
      <w:r w:rsidRPr="00476435">
        <w:rPr>
          <w:i/>
          <w:sz w:val="24"/>
          <w:szCs w:val="24"/>
        </w:rPr>
        <w:t>Education at a Glance</w:t>
      </w:r>
      <w:r w:rsidRPr="00476435">
        <w:rPr>
          <w:sz w:val="24"/>
          <w:szCs w:val="24"/>
        </w:rPr>
        <w:t xml:space="preserve">, Paris: Organisation for Economic Co-operation and Development </w:t>
      </w:r>
    </w:p>
    <w:p w14:paraId="491D0DA3" w14:textId="77777777" w:rsidR="005663E7" w:rsidRPr="00476435" w:rsidRDefault="005663E7" w:rsidP="00476435">
      <w:pPr>
        <w:spacing w:after="200" w:line="360" w:lineRule="auto"/>
        <w:jc w:val="both"/>
        <w:rPr>
          <w:sz w:val="24"/>
          <w:szCs w:val="24"/>
        </w:rPr>
      </w:pPr>
      <w:r w:rsidRPr="00476435">
        <w:rPr>
          <w:sz w:val="24"/>
          <w:szCs w:val="24"/>
        </w:rPr>
        <w:t xml:space="preserve">OECD (2013), </w:t>
      </w:r>
      <w:r w:rsidRPr="00476435">
        <w:rPr>
          <w:i/>
          <w:sz w:val="24"/>
          <w:szCs w:val="24"/>
        </w:rPr>
        <w:t>Education at a Glance</w:t>
      </w:r>
      <w:r w:rsidRPr="00476435">
        <w:rPr>
          <w:sz w:val="24"/>
          <w:szCs w:val="24"/>
        </w:rPr>
        <w:t xml:space="preserve">, Paris: Organisation for Economic Co-operation and Development </w:t>
      </w:r>
    </w:p>
    <w:p w14:paraId="7AA111BC" w14:textId="77777777" w:rsidR="00507252" w:rsidRPr="00476435" w:rsidRDefault="00507252" w:rsidP="00476435">
      <w:pPr>
        <w:spacing w:line="360" w:lineRule="auto"/>
        <w:jc w:val="both"/>
        <w:rPr>
          <w:rFonts w:cs="Arial"/>
          <w:sz w:val="24"/>
          <w:szCs w:val="24"/>
        </w:rPr>
      </w:pPr>
      <w:bookmarkStart w:id="9" w:name="_Hlk517856986"/>
      <w:r w:rsidRPr="00476435">
        <w:rPr>
          <w:rFonts w:cs="Arial"/>
          <w:sz w:val="24"/>
          <w:szCs w:val="24"/>
        </w:rPr>
        <w:t xml:space="preserve">OECD (2015a), </w:t>
      </w:r>
      <w:r w:rsidRPr="00476435">
        <w:rPr>
          <w:rFonts w:cs="Arial"/>
          <w:i/>
          <w:sz w:val="24"/>
          <w:szCs w:val="24"/>
        </w:rPr>
        <w:t>Government at a Glance 2015</w:t>
      </w:r>
      <w:r w:rsidRPr="00476435">
        <w:rPr>
          <w:rFonts w:cs="Arial"/>
          <w:sz w:val="24"/>
          <w:szCs w:val="24"/>
        </w:rPr>
        <w:t xml:space="preserve">, Paris: OECD Publishing </w:t>
      </w:r>
    </w:p>
    <w:p w14:paraId="10324C3D" w14:textId="77777777" w:rsidR="005663E7" w:rsidRPr="00476435" w:rsidRDefault="005663E7" w:rsidP="00476435">
      <w:pPr>
        <w:spacing w:line="360" w:lineRule="auto"/>
        <w:jc w:val="both"/>
        <w:rPr>
          <w:rFonts w:cs="Arial"/>
          <w:sz w:val="24"/>
          <w:szCs w:val="24"/>
        </w:rPr>
      </w:pPr>
      <w:bookmarkStart w:id="10" w:name="_Hlk531771263"/>
      <w:r w:rsidRPr="00476435">
        <w:rPr>
          <w:rFonts w:cs="Arial"/>
          <w:sz w:val="24"/>
          <w:szCs w:val="24"/>
        </w:rPr>
        <w:t>OECD (2015</w:t>
      </w:r>
      <w:r w:rsidR="00507252" w:rsidRPr="00476435">
        <w:rPr>
          <w:rFonts w:cs="Arial"/>
          <w:sz w:val="24"/>
          <w:szCs w:val="24"/>
        </w:rPr>
        <w:t>b</w:t>
      </w:r>
      <w:r w:rsidRPr="00476435">
        <w:rPr>
          <w:rFonts w:cs="Arial"/>
          <w:sz w:val="24"/>
          <w:szCs w:val="24"/>
        </w:rPr>
        <w:t xml:space="preserve">), </w:t>
      </w:r>
      <w:r w:rsidRPr="00476435">
        <w:rPr>
          <w:rFonts w:cs="Arial"/>
          <w:i/>
          <w:sz w:val="24"/>
          <w:szCs w:val="24"/>
        </w:rPr>
        <w:t>Education at a Glance 2015</w:t>
      </w:r>
      <w:r w:rsidRPr="00476435">
        <w:rPr>
          <w:rFonts w:cs="Arial"/>
          <w:sz w:val="24"/>
          <w:szCs w:val="24"/>
        </w:rPr>
        <w:t>, Paris: OECD Publishing</w:t>
      </w:r>
      <w:bookmarkEnd w:id="9"/>
    </w:p>
    <w:p w14:paraId="565E5B24" w14:textId="77777777" w:rsidR="00FC73A7" w:rsidRPr="00476435" w:rsidRDefault="00FC73A7" w:rsidP="00476435">
      <w:pPr>
        <w:autoSpaceDE w:val="0"/>
        <w:autoSpaceDN w:val="0"/>
        <w:adjustRightInd w:val="0"/>
        <w:spacing w:after="0" w:line="360" w:lineRule="auto"/>
        <w:rPr>
          <w:rFonts w:cs="Arial"/>
          <w:color w:val="000000"/>
          <w:sz w:val="24"/>
          <w:szCs w:val="24"/>
        </w:rPr>
      </w:pPr>
      <w:bookmarkStart w:id="11" w:name="_Hlk531771019"/>
      <w:bookmarkEnd w:id="10"/>
      <w:r w:rsidRPr="00476435">
        <w:rPr>
          <w:rFonts w:cs="Arial"/>
          <w:sz w:val="24"/>
          <w:szCs w:val="24"/>
        </w:rPr>
        <w:t xml:space="preserve">Scanlon, G. &amp; McKenna, G. (2018), </w:t>
      </w:r>
      <w:r w:rsidRPr="00476435">
        <w:rPr>
          <w:rFonts w:cs="Arial"/>
          <w:i/>
          <w:sz w:val="24"/>
          <w:szCs w:val="24"/>
        </w:rPr>
        <w:t>Home Works: A study on the educational needs of children experiencing homelessness and living in emergency accommodation</w:t>
      </w:r>
      <w:r w:rsidRPr="00476435">
        <w:rPr>
          <w:rFonts w:cs="Arial"/>
          <w:sz w:val="24"/>
          <w:szCs w:val="24"/>
        </w:rPr>
        <w:t>, Dublin: Children’s Rights Alliance</w:t>
      </w:r>
      <w:r w:rsidRPr="00476435">
        <w:rPr>
          <w:rFonts w:cs="Arial"/>
          <w:color w:val="000000"/>
          <w:sz w:val="24"/>
          <w:szCs w:val="24"/>
        </w:rPr>
        <w:t xml:space="preserve"> </w:t>
      </w:r>
    </w:p>
    <w:p w14:paraId="7CDB5807" w14:textId="77777777" w:rsidR="005E23A3" w:rsidRPr="00476435" w:rsidRDefault="005E23A3" w:rsidP="00476435">
      <w:pPr>
        <w:autoSpaceDE w:val="0"/>
        <w:autoSpaceDN w:val="0"/>
        <w:adjustRightInd w:val="0"/>
        <w:spacing w:after="0" w:line="360" w:lineRule="auto"/>
        <w:rPr>
          <w:rFonts w:cs="Arial"/>
          <w:color w:val="000000"/>
          <w:sz w:val="24"/>
          <w:szCs w:val="24"/>
        </w:rPr>
      </w:pPr>
      <w:bookmarkStart w:id="12" w:name="_Hlk531771307"/>
      <w:bookmarkEnd w:id="11"/>
      <w:r w:rsidRPr="00476435">
        <w:rPr>
          <w:rFonts w:cs="Arial"/>
          <w:color w:val="000000"/>
          <w:sz w:val="24"/>
          <w:szCs w:val="24"/>
        </w:rPr>
        <w:t xml:space="preserve">SJI (2018), </w:t>
      </w:r>
      <w:r w:rsidRPr="00476435">
        <w:rPr>
          <w:rFonts w:cs="Arial"/>
          <w:i/>
          <w:color w:val="000000"/>
          <w:sz w:val="24"/>
          <w:szCs w:val="24"/>
        </w:rPr>
        <w:t>Poverty Focus 2018</w:t>
      </w:r>
      <w:r w:rsidRPr="00476435">
        <w:rPr>
          <w:rFonts w:cs="Arial"/>
          <w:color w:val="000000"/>
          <w:sz w:val="24"/>
          <w:szCs w:val="24"/>
        </w:rPr>
        <w:t>, Dublin: Social Justice Ireland</w:t>
      </w:r>
    </w:p>
    <w:p w14:paraId="05CD1096" w14:textId="77777777" w:rsidR="00C570F1" w:rsidRPr="00476435" w:rsidRDefault="00C570F1" w:rsidP="00476435">
      <w:pPr>
        <w:spacing w:line="360" w:lineRule="auto"/>
        <w:rPr>
          <w:rFonts w:cs="Arial"/>
          <w:sz w:val="24"/>
          <w:szCs w:val="24"/>
        </w:rPr>
      </w:pPr>
      <w:bookmarkStart w:id="13" w:name="_Hlk531771085"/>
      <w:bookmarkEnd w:id="12"/>
      <w:r w:rsidRPr="00476435">
        <w:rPr>
          <w:rFonts w:cs="Arial"/>
          <w:sz w:val="24"/>
          <w:szCs w:val="24"/>
        </w:rPr>
        <w:t xml:space="preserve">Social Progress Initiative (2018), </w:t>
      </w:r>
      <w:r w:rsidRPr="00476435">
        <w:rPr>
          <w:rFonts w:cs="Arial"/>
          <w:i/>
          <w:sz w:val="24"/>
          <w:szCs w:val="24"/>
        </w:rPr>
        <w:t>Social Progress Index 2018</w:t>
      </w:r>
      <w:r w:rsidRPr="00476435">
        <w:rPr>
          <w:rFonts w:cs="Arial"/>
          <w:sz w:val="24"/>
          <w:szCs w:val="24"/>
        </w:rPr>
        <w:t>, Washington DC, USA: Social Progress Imperative</w:t>
      </w:r>
    </w:p>
    <w:bookmarkEnd w:id="13"/>
    <w:p w14:paraId="270210B4" w14:textId="635CD88D" w:rsidR="005663E7" w:rsidRPr="00476435" w:rsidRDefault="005663E7" w:rsidP="00476435">
      <w:pPr>
        <w:spacing w:line="360" w:lineRule="auto"/>
        <w:jc w:val="both"/>
        <w:rPr>
          <w:sz w:val="24"/>
          <w:szCs w:val="24"/>
        </w:rPr>
      </w:pPr>
      <w:r w:rsidRPr="00476435">
        <w:rPr>
          <w:rFonts w:cs="Arial"/>
          <w:sz w:val="24"/>
          <w:szCs w:val="24"/>
        </w:rPr>
        <w:t xml:space="preserve">Teaching Council (2010), </w:t>
      </w:r>
      <w:r w:rsidRPr="00476435">
        <w:rPr>
          <w:rFonts w:cs="Arial"/>
          <w:i/>
          <w:sz w:val="24"/>
          <w:szCs w:val="24"/>
        </w:rPr>
        <w:t>Evaluation of Public Attitudes to the Teaching Profession</w:t>
      </w:r>
      <w:r w:rsidRPr="00476435">
        <w:rPr>
          <w:rFonts w:cs="Arial"/>
          <w:sz w:val="24"/>
          <w:szCs w:val="24"/>
        </w:rPr>
        <w:t>, Maynooth: Teaching Council</w:t>
      </w:r>
    </w:p>
    <w:p w14:paraId="538F4422" w14:textId="77777777" w:rsidR="00A14C57" w:rsidRPr="00476435" w:rsidRDefault="00A14C57" w:rsidP="00476435">
      <w:pPr>
        <w:spacing w:line="360" w:lineRule="auto"/>
        <w:jc w:val="both"/>
        <w:rPr>
          <w:rFonts w:cs="Arial"/>
          <w:sz w:val="24"/>
          <w:szCs w:val="24"/>
        </w:rPr>
      </w:pPr>
      <w:bookmarkStart w:id="14" w:name="_Hlk531771212"/>
      <w:r w:rsidRPr="00476435">
        <w:rPr>
          <w:rFonts w:cs="Arial"/>
          <w:sz w:val="24"/>
          <w:szCs w:val="24"/>
        </w:rPr>
        <w:t xml:space="preserve">United Nations Development Programme (2018), </w:t>
      </w:r>
      <w:r w:rsidRPr="00476435">
        <w:rPr>
          <w:rFonts w:cs="Arial"/>
          <w:i/>
          <w:sz w:val="24"/>
          <w:szCs w:val="24"/>
        </w:rPr>
        <w:t>Human Development Indices and Indicators: 2018 statistical update</w:t>
      </w:r>
      <w:r w:rsidRPr="00476435">
        <w:rPr>
          <w:rFonts w:cs="Arial"/>
          <w:sz w:val="24"/>
          <w:szCs w:val="24"/>
        </w:rPr>
        <w:t>, New York: United Nations</w:t>
      </w:r>
      <w:bookmarkEnd w:id="14"/>
    </w:p>
    <w:sectPr w:rsidR="00A14C57" w:rsidRPr="004764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53E3" w14:textId="77777777" w:rsidR="00615D2E" w:rsidRDefault="00615D2E" w:rsidP="001E5DAD">
      <w:pPr>
        <w:spacing w:after="0" w:line="240" w:lineRule="auto"/>
      </w:pPr>
      <w:r>
        <w:separator/>
      </w:r>
    </w:p>
  </w:endnote>
  <w:endnote w:type="continuationSeparator" w:id="0">
    <w:p w14:paraId="7A05D8B2" w14:textId="77777777" w:rsidR="00615D2E" w:rsidRDefault="00615D2E"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46612"/>
      <w:docPartObj>
        <w:docPartGallery w:val="Page Numbers (Bottom of Page)"/>
        <w:docPartUnique/>
      </w:docPartObj>
    </w:sdtPr>
    <w:sdtEndPr>
      <w:rPr>
        <w:noProof/>
      </w:rPr>
    </w:sdtEndPr>
    <w:sdtContent>
      <w:p w14:paraId="3B2949F3" w14:textId="77777777"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14:paraId="3A06CFDC" w14:textId="77777777"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F2573" w14:textId="77777777" w:rsidR="00615D2E" w:rsidRDefault="00615D2E" w:rsidP="001E5DAD">
      <w:pPr>
        <w:spacing w:after="0" w:line="240" w:lineRule="auto"/>
      </w:pPr>
      <w:r>
        <w:separator/>
      </w:r>
    </w:p>
  </w:footnote>
  <w:footnote w:type="continuationSeparator" w:id="0">
    <w:p w14:paraId="64D59D38" w14:textId="77777777" w:rsidR="00615D2E" w:rsidRDefault="00615D2E"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986699"/>
    <w:multiLevelType w:val="hybridMultilevel"/>
    <w:tmpl w:val="92DC8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3B6A96"/>
    <w:multiLevelType w:val="hybridMultilevel"/>
    <w:tmpl w:val="933AB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DEB787E"/>
    <w:multiLevelType w:val="hybridMultilevel"/>
    <w:tmpl w:val="A7665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24"/>
  </w:num>
  <w:num w:numId="5">
    <w:abstractNumId w:val="22"/>
  </w:num>
  <w:num w:numId="6">
    <w:abstractNumId w:val="3"/>
  </w:num>
  <w:num w:numId="7">
    <w:abstractNumId w:val="11"/>
  </w:num>
  <w:num w:numId="8">
    <w:abstractNumId w:val="20"/>
  </w:num>
  <w:num w:numId="9">
    <w:abstractNumId w:val="15"/>
  </w:num>
  <w:num w:numId="10">
    <w:abstractNumId w:val="4"/>
  </w:num>
  <w:num w:numId="11">
    <w:abstractNumId w:val="7"/>
  </w:num>
  <w:num w:numId="12">
    <w:abstractNumId w:val="21"/>
  </w:num>
  <w:num w:numId="13">
    <w:abstractNumId w:val="1"/>
  </w:num>
  <w:num w:numId="14">
    <w:abstractNumId w:val="23"/>
  </w:num>
  <w:num w:numId="15">
    <w:abstractNumId w:val="2"/>
  </w:num>
  <w:num w:numId="16">
    <w:abstractNumId w:val="0"/>
  </w:num>
  <w:num w:numId="17">
    <w:abstractNumId w:val="10"/>
  </w:num>
  <w:num w:numId="18">
    <w:abstractNumId w:val="6"/>
  </w:num>
  <w:num w:numId="19">
    <w:abstractNumId w:val="25"/>
  </w:num>
  <w:num w:numId="20">
    <w:abstractNumId w:val="14"/>
  </w:num>
  <w:num w:numId="21">
    <w:abstractNumId w:val="9"/>
  </w:num>
  <w:num w:numId="22">
    <w:abstractNumId w:val="16"/>
  </w:num>
  <w:num w:numId="23">
    <w:abstractNumId w:val="18"/>
  </w:num>
  <w:num w:numId="24">
    <w:abstractNumId w:val="17"/>
  </w:num>
  <w:num w:numId="25">
    <w:abstractNumId w:val="8"/>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5A69"/>
    <w:rsid w:val="00020DB4"/>
    <w:rsid w:val="00021C7B"/>
    <w:rsid w:val="00030807"/>
    <w:rsid w:val="000373BB"/>
    <w:rsid w:val="00037410"/>
    <w:rsid w:val="000478ED"/>
    <w:rsid w:val="00061478"/>
    <w:rsid w:val="000747EB"/>
    <w:rsid w:val="000761CB"/>
    <w:rsid w:val="0007629A"/>
    <w:rsid w:val="000814FF"/>
    <w:rsid w:val="00087033"/>
    <w:rsid w:val="000A32A4"/>
    <w:rsid w:val="000B6848"/>
    <w:rsid w:val="000B6D1B"/>
    <w:rsid w:val="000B70CE"/>
    <w:rsid w:val="000C09F6"/>
    <w:rsid w:val="000C2063"/>
    <w:rsid w:val="000E0247"/>
    <w:rsid w:val="000E218D"/>
    <w:rsid w:val="000E22A7"/>
    <w:rsid w:val="000E49FC"/>
    <w:rsid w:val="000E4F4D"/>
    <w:rsid w:val="000F61E9"/>
    <w:rsid w:val="001036F9"/>
    <w:rsid w:val="0010428C"/>
    <w:rsid w:val="00104EEA"/>
    <w:rsid w:val="00123F17"/>
    <w:rsid w:val="00130A2C"/>
    <w:rsid w:val="001373E0"/>
    <w:rsid w:val="001542F7"/>
    <w:rsid w:val="0016203D"/>
    <w:rsid w:val="001674FA"/>
    <w:rsid w:val="001843B1"/>
    <w:rsid w:val="0018717F"/>
    <w:rsid w:val="001903B6"/>
    <w:rsid w:val="0019362F"/>
    <w:rsid w:val="00194340"/>
    <w:rsid w:val="00196E79"/>
    <w:rsid w:val="00197292"/>
    <w:rsid w:val="001A0ED8"/>
    <w:rsid w:val="001A4CC9"/>
    <w:rsid w:val="001A78B0"/>
    <w:rsid w:val="001D412D"/>
    <w:rsid w:val="001E5DAD"/>
    <w:rsid w:val="001F3BFD"/>
    <w:rsid w:val="0020709E"/>
    <w:rsid w:val="00207614"/>
    <w:rsid w:val="002203AD"/>
    <w:rsid w:val="002374A4"/>
    <w:rsid w:val="00237706"/>
    <w:rsid w:val="00246EE2"/>
    <w:rsid w:val="00262A94"/>
    <w:rsid w:val="00282CA3"/>
    <w:rsid w:val="002A569F"/>
    <w:rsid w:val="002A70E5"/>
    <w:rsid w:val="002B3562"/>
    <w:rsid w:val="002D649B"/>
    <w:rsid w:val="002D6B85"/>
    <w:rsid w:val="002E13B8"/>
    <w:rsid w:val="002E553B"/>
    <w:rsid w:val="002F2AD1"/>
    <w:rsid w:val="002F5110"/>
    <w:rsid w:val="003103A8"/>
    <w:rsid w:val="003348F4"/>
    <w:rsid w:val="003409C9"/>
    <w:rsid w:val="00342095"/>
    <w:rsid w:val="003500DD"/>
    <w:rsid w:val="003505F9"/>
    <w:rsid w:val="00364612"/>
    <w:rsid w:val="00376762"/>
    <w:rsid w:val="00383317"/>
    <w:rsid w:val="00383C04"/>
    <w:rsid w:val="003959E2"/>
    <w:rsid w:val="003B07B6"/>
    <w:rsid w:val="003C18DB"/>
    <w:rsid w:val="003C3DC0"/>
    <w:rsid w:val="003D05BB"/>
    <w:rsid w:val="003D29AE"/>
    <w:rsid w:val="003D4A25"/>
    <w:rsid w:val="003E7EED"/>
    <w:rsid w:val="003F14EB"/>
    <w:rsid w:val="003F380D"/>
    <w:rsid w:val="00401B9F"/>
    <w:rsid w:val="00405AA8"/>
    <w:rsid w:val="00406327"/>
    <w:rsid w:val="0041104C"/>
    <w:rsid w:val="0042135E"/>
    <w:rsid w:val="004341CF"/>
    <w:rsid w:val="0043434D"/>
    <w:rsid w:val="0044056A"/>
    <w:rsid w:val="00444AE4"/>
    <w:rsid w:val="00464868"/>
    <w:rsid w:val="00472ABE"/>
    <w:rsid w:val="00476435"/>
    <w:rsid w:val="004849FF"/>
    <w:rsid w:val="00485D6A"/>
    <w:rsid w:val="00487B33"/>
    <w:rsid w:val="004965AF"/>
    <w:rsid w:val="004B21D7"/>
    <w:rsid w:val="004B3052"/>
    <w:rsid w:val="005055F6"/>
    <w:rsid w:val="00507252"/>
    <w:rsid w:val="005104D2"/>
    <w:rsid w:val="005160BD"/>
    <w:rsid w:val="005174F7"/>
    <w:rsid w:val="00547022"/>
    <w:rsid w:val="00551508"/>
    <w:rsid w:val="00554298"/>
    <w:rsid w:val="005663E7"/>
    <w:rsid w:val="00572042"/>
    <w:rsid w:val="00577038"/>
    <w:rsid w:val="00590DC6"/>
    <w:rsid w:val="00596E64"/>
    <w:rsid w:val="005A1AA3"/>
    <w:rsid w:val="005A4FDC"/>
    <w:rsid w:val="005A5019"/>
    <w:rsid w:val="005B289F"/>
    <w:rsid w:val="005D7EF3"/>
    <w:rsid w:val="005E23A3"/>
    <w:rsid w:val="005E3702"/>
    <w:rsid w:val="00605718"/>
    <w:rsid w:val="0061555D"/>
    <w:rsid w:val="00615D2E"/>
    <w:rsid w:val="00627F22"/>
    <w:rsid w:val="006306BB"/>
    <w:rsid w:val="00632D41"/>
    <w:rsid w:val="006475F0"/>
    <w:rsid w:val="00662449"/>
    <w:rsid w:val="00671C18"/>
    <w:rsid w:val="00693C7E"/>
    <w:rsid w:val="00695428"/>
    <w:rsid w:val="00696401"/>
    <w:rsid w:val="0069772B"/>
    <w:rsid w:val="006C3BF5"/>
    <w:rsid w:val="006E0AE7"/>
    <w:rsid w:val="006E4C85"/>
    <w:rsid w:val="006F2752"/>
    <w:rsid w:val="006F5DF0"/>
    <w:rsid w:val="006F72E3"/>
    <w:rsid w:val="007024A5"/>
    <w:rsid w:val="0071123F"/>
    <w:rsid w:val="00714E32"/>
    <w:rsid w:val="00742439"/>
    <w:rsid w:val="00752E1A"/>
    <w:rsid w:val="007725A4"/>
    <w:rsid w:val="00775B69"/>
    <w:rsid w:val="00790584"/>
    <w:rsid w:val="007941B9"/>
    <w:rsid w:val="007972DC"/>
    <w:rsid w:val="007B42FE"/>
    <w:rsid w:val="007B4766"/>
    <w:rsid w:val="007B4A4C"/>
    <w:rsid w:val="007C6EA7"/>
    <w:rsid w:val="007D59D1"/>
    <w:rsid w:val="007D5AA5"/>
    <w:rsid w:val="007D7C35"/>
    <w:rsid w:val="007D7C46"/>
    <w:rsid w:val="007D7D5B"/>
    <w:rsid w:val="007E025D"/>
    <w:rsid w:val="007E46FA"/>
    <w:rsid w:val="007E5BC8"/>
    <w:rsid w:val="00821106"/>
    <w:rsid w:val="00836D4D"/>
    <w:rsid w:val="00844B02"/>
    <w:rsid w:val="008457C5"/>
    <w:rsid w:val="00852D95"/>
    <w:rsid w:val="008555E9"/>
    <w:rsid w:val="00855607"/>
    <w:rsid w:val="00861287"/>
    <w:rsid w:val="00866555"/>
    <w:rsid w:val="00870E5E"/>
    <w:rsid w:val="00886F39"/>
    <w:rsid w:val="0088751A"/>
    <w:rsid w:val="0089023E"/>
    <w:rsid w:val="00894A8B"/>
    <w:rsid w:val="008C1AAB"/>
    <w:rsid w:val="008C7075"/>
    <w:rsid w:val="008D3DE9"/>
    <w:rsid w:val="008D7DF4"/>
    <w:rsid w:val="008E17AE"/>
    <w:rsid w:val="008E31BF"/>
    <w:rsid w:val="008F0276"/>
    <w:rsid w:val="008F5D4B"/>
    <w:rsid w:val="00911BE1"/>
    <w:rsid w:val="009204E0"/>
    <w:rsid w:val="009244B3"/>
    <w:rsid w:val="00933273"/>
    <w:rsid w:val="00960A99"/>
    <w:rsid w:val="00964FCE"/>
    <w:rsid w:val="00970670"/>
    <w:rsid w:val="009833B2"/>
    <w:rsid w:val="00990B58"/>
    <w:rsid w:val="00996DAF"/>
    <w:rsid w:val="009A2D93"/>
    <w:rsid w:val="009B5314"/>
    <w:rsid w:val="009C552F"/>
    <w:rsid w:val="009D40FE"/>
    <w:rsid w:val="009D77E5"/>
    <w:rsid w:val="009E3863"/>
    <w:rsid w:val="00A01EFB"/>
    <w:rsid w:val="00A04358"/>
    <w:rsid w:val="00A04C74"/>
    <w:rsid w:val="00A12494"/>
    <w:rsid w:val="00A14C57"/>
    <w:rsid w:val="00A21D2A"/>
    <w:rsid w:val="00A23190"/>
    <w:rsid w:val="00A301A7"/>
    <w:rsid w:val="00A43DEB"/>
    <w:rsid w:val="00A45A22"/>
    <w:rsid w:val="00A461D6"/>
    <w:rsid w:val="00A46711"/>
    <w:rsid w:val="00A52D27"/>
    <w:rsid w:val="00A560A4"/>
    <w:rsid w:val="00A67B64"/>
    <w:rsid w:val="00A81D53"/>
    <w:rsid w:val="00A93302"/>
    <w:rsid w:val="00AB30BB"/>
    <w:rsid w:val="00AC068A"/>
    <w:rsid w:val="00AC49BB"/>
    <w:rsid w:val="00AC6DA7"/>
    <w:rsid w:val="00AC6FC2"/>
    <w:rsid w:val="00AD7A53"/>
    <w:rsid w:val="00AF2879"/>
    <w:rsid w:val="00AF2DE2"/>
    <w:rsid w:val="00AF31A1"/>
    <w:rsid w:val="00AF4C85"/>
    <w:rsid w:val="00B0086B"/>
    <w:rsid w:val="00B00A9A"/>
    <w:rsid w:val="00B041E2"/>
    <w:rsid w:val="00B1597F"/>
    <w:rsid w:val="00B27078"/>
    <w:rsid w:val="00B275A3"/>
    <w:rsid w:val="00B31A73"/>
    <w:rsid w:val="00B40FA7"/>
    <w:rsid w:val="00B42153"/>
    <w:rsid w:val="00B47744"/>
    <w:rsid w:val="00B5761B"/>
    <w:rsid w:val="00B604AB"/>
    <w:rsid w:val="00B80181"/>
    <w:rsid w:val="00B805A7"/>
    <w:rsid w:val="00B85E6A"/>
    <w:rsid w:val="00B965F9"/>
    <w:rsid w:val="00BA0886"/>
    <w:rsid w:val="00BB24CC"/>
    <w:rsid w:val="00BB6253"/>
    <w:rsid w:val="00BC397C"/>
    <w:rsid w:val="00BD0FAF"/>
    <w:rsid w:val="00BD16B5"/>
    <w:rsid w:val="00BD3F30"/>
    <w:rsid w:val="00BE047F"/>
    <w:rsid w:val="00BE3EA4"/>
    <w:rsid w:val="00BE44E7"/>
    <w:rsid w:val="00BE5ADF"/>
    <w:rsid w:val="00BF1F56"/>
    <w:rsid w:val="00BF7DBD"/>
    <w:rsid w:val="00C04963"/>
    <w:rsid w:val="00C15932"/>
    <w:rsid w:val="00C2074B"/>
    <w:rsid w:val="00C20F3D"/>
    <w:rsid w:val="00C31378"/>
    <w:rsid w:val="00C43B5E"/>
    <w:rsid w:val="00C570F1"/>
    <w:rsid w:val="00C71902"/>
    <w:rsid w:val="00C75B3A"/>
    <w:rsid w:val="00C82175"/>
    <w:rsid w:val="00C82359"/>
    <w:rsid w:val="00C866CB"/>
    <w:rsid w:val="00C8791A"/>
    <w:rsid w:val="00C96787"/>
    <w:rsid w:val="00CB3A74"/>
    <w:rsid w:val="00CC2E33"/>
    <w:rsid w:val="00CE789D"/>
    <w:rsid w:val="00CF09DF"/>
    <w:rsid w:val="00D013A7"/>
    <w:rsid w:val="00D05374"/>
    <w:rsid w:val="00D06190"/>
    <w:rsid w:val="00D077AC"/>
    <w:rsid w:val="00D223A8"/>
    <w:rsid w:val="00D22D32"/>
    <w:rsid w:val="00D30809"/>
    <w:rsid w:val="00D317E4"/>
    <w:rsid w:val="00D463B4"/>
    <w:rsid w:val="00D5057C"/>
    <w:rsid w:val="00D5471B"/>
    <w:rsid w:val="00D54949"/>
    <w:rsid w:val="00D56152"/>
    <w:rsid w:val="00D61DEB"/>
    <w:rsid w:val="00D67347"/>
    <w:rsid w:val="00D750D5"/>
    <w:rsid w:val="00D81958"/>
    <w:rsid w:val="00D82B80"/>
    <w:rsid w:val="00D8462B"/>
    <w:rsid w:val="00D85EDF"/>
    <w:rsid w:val="00D943C0"/>
    <w:rsid w:val="00DA62B1"/>
    <w:rsid w:val="00DB78F2"/>
    <w:rsid w:val="00DC52A6"/>
    <w:rsid w:val="00DD0EF8"/>
    <w:rsid w:val="00DD6132"/>
    <w:rsid w:val="00DF3B6B"/>
    <w:rsid w:val="00E33EBD"/>
    <w:rsid w:val="00E4177A"/>
    <w:rsid w:val="00E45461"/>
    <w:rsid w:val="00E46AC7"/>
    <w:rsid w:val="00E512CE"/>
    <w:rsid w:val="00E63D39"/>
    <w:rsid w:val="00E70C0A"/>
    <w:rsid w:val="00E73014"/>
    <w:rsid w:val="00E7790C"/>
    <w:rsid w:val="00E90F0F"/>
    <w:rsid w:val="00EA0D26"/>
    <w:rsid w:val="00EB31F6"/>
    <w:rsid w:val="00EB75A4"/>
    <w:rsid w:val="00EC3D1B"/>
    <w:rsid w:val="00EC5BF6"/>
    <w:rsid w:val="00EF1D64"/>
    <w:rsid w:val="00F00375"/>
    <w:rsid w:val="00F0103A"/>
    <w:rsid w:val="00F0172A"/>
    <w:rsid w:val="00F2507B"/>
    <w:rsid w:val="00F56CF9"/>
    <w:rsid w:val="00F67C98"/>
    <w:rsid w:val="00F71F8F"/>
    <w:rsid w:val="00F72414"/>
    <w:rsid w:val="00F737E2"/>
    <w:rsid w:val="00F801F4"/>
    <w:rsid w:val="00F8484A"/>
    <w:rsid w:val="00F855DE"/>
    <w:rsid w:val="00F95C41"/>
    <w:rsid w:val="00FB37BF"/>
    <w:rsid w:val="00FB5A84"/>
    <w:rsid w:val="00FC0292"/>
    <w:rsid w:val="00FC0AD0"/>
    <w:rsid w:val="00FC34CB"/>
    <w:rsid w:val="00FC3DC2"/>
    <w:rsid w:val="00FC6EF4"/>
    <w:rsid w:val="00FC73A7"/>
    <w:rsid w:val="00FC7805"/>
    <w:rsid w:val="00FE6A22"/>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56D1"/>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5152">
      <w:bodyDiv w:val="1"/>
      <w:marLeft w:val="0"/>
      <w:marRight w:val="0"/>
      <w:marTop w:val="0"/>
      <w:marBottom w:val="0"/>
      <w:divBdr>
        <w:top w:val="none" w:sz="0" w:space="0" w:color="auto"/>
        <w:left w:val="none" w:sz="0" w:space="0" w:color="auto"/>
        <w:bottom w:val="none" w:sz="0" w:space="0" w:color="auto"/>
        <w:right w:val="none" w:sz="0" w:space="0" w:color="auto"/>
      </w:divBdr>
    </w:div>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 w:id="1905486601">
      <w:bodyDiv w:val="1"/>
      <w:marLeft w:val="0"/>
      <w:marRight w:val="0"/>
      <w:marTop w:val="0"/>
      <w:marBottom w:val="0"/>
      <w:divBdr>
        <w:top w:val="none" w:sz="0" w:space="0" w:color="auto"/>
        <w:left w:val="none" w:sz="0" w:space="0" w:color="auto"/>
        <w:bottom w:val="none" w:sz="0" w:space="0" w:color="auto"/>
        <w:right w:val="none" w:sz="0" w:space="0" w:color="auto"/>
      </w:divBdr>
    </w:div>
    <w:div w:id="19187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2018-12-13T15:01:00Z</cp:lastPrinted>
  <dcterms:created xsi:type="dcterms:W3CDTF">2019-08-16T14:41:00Z</dcterms:created>
  <dcterms:modified xsi:type="dcterms:W3CDTF">2019-08-16T14:41:00Z</dcterms:modified>
</cp:coreProperties>
</file>