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E91F" w14:textId="77777777" w:rsidR="00BD16B5" w:rsidRDefault="000373BB" w:rsidP="00BD16B5">
      <w:pPr>
        <w:jc w:val="center"/>
        <w:rPr>
          <w:b/>
          <w:sz w:val="32"/>
          <w:szCs w:val="32"/>
        </w:rPr>
      </w:pPr>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14:paraId="1D181CE9" w14:textId="77777777"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Department of Education and Skills </w:t>
      </w:r>
      <w:r w:rsidR="008C1AAB">
        <w:rPr>
          <w:b/>
          <w:sz w:val="32"/>
          <w:szCs w:val="32"/>
        </w:rPr>
        <w:t xml:space="preserve">(DES) </w:t>
      </w:r>
      <w:r w:rsidR="000373BB">
        <w:rPr>
          <w:b/>
          <w:sz w:val="32"/>
          <w:szCs w:val="32"/>
        </w:rPr>
        <w:t xml:space="preserve">on the topic of </w:t>
      </w:r>
      <w:r w:rsidR="00015A69">
        <w:rPr>
          <w:b/>
          <w:sz w:val="32"/>
          <w:szCs w:val="32"/>
        </w:rPr>
        <w:t>exemptions from the study of Irish</w:t>
      </w:r>
      <w:r w:rsidR="00B80181">
        <w:rPr>
          <w:b/>
          <w:sz w:val="32"/>
          <w:szCs w:val="32"/>
        </w:rPr>
        <w:t>.</w:t>
      </w:r>
    </w:p>
    <w:p w14:paraId="4119D788" w14:textId="77777777" w:rsidR="00A12494" w:rsidRPr="005160BD" w:rsidRDefault="00A12494" w:rsidP="00BD16B5">
      <w:pPr>
        <w:jc w:val="center"/>
        <w:rPr>
          <w:b/>
          <w:sz w:val="32"/>
          <w:szCs w:val="32"/>
        </w:rPr>
      </w:pPr>
      <w:r w:rsidRPr="005160BD">
        <w:rPr>
          <w:b/>
          <w:sz w:val="32"/>
          <w:szCs w:val="32"/>
        </w:rPr>
        <w:t>(</w:t>
      </w:r>
      <w:r w:rsidR="00015A69">
        <w:rPr>
          <w:b/>
          <w:sz w:val="32"/>
          <w:szCs w:val="32"/>
        </w:rPr>
        <w:t>January 2019</w:t>
      </w:r>
      <w:r w:rsidRPr="005160BD">
        <w:rPr>
          <w:b/>
          <w:sz w:val="32"/>
          <w:szCs w:val="32"/>
        </w:rPr>
        <w:t>)</w:t>
      </w:r>
    </w:p>
    <w:p w14:paraId="176E61C9" w14:textId="77777777" w:rsidR="00F0172A" w:rsidRPr="00B90F37" w:rsidRDefault="001542F7" w:rsidP="00F0172A">
      <w:pPr>
        <w:spacing w:after="0" w:line="360" w:lineRule="auto"/>
        <w:jc w:val="both"/>
        <w:rPr>
          <w:sz w:val="24"/>
          <w:szCs w:val="24"/>
        </w:rPr>
      </w:pPr>
      <w:r w:rsidRPr="007D7C46">
        <w:rPr>
          <w:sz w:val="24"/>
          <w:szCs w:val="24"/>
        </w:rPr>
        <w:t xml:space="preserve">The </w:t>
      </w:r>
      <w:r w:rsidR="008C1AAB" w:rsidRPr="007D7C46">
        <w:rPr>
          <w:sz w:val="24"/>
          <w:szCs w:val="24"/>
        </w:rPr>
        <w:t>TUI represents teachers</w:t>
      </w:r>
      <w:r w:rsidRPr="007D7C46">
        <w:rPr>
          <w:sz w:val="24"/>
          <w:szCs w:val="24"/>
        </w:rPr>
        <w:t>, l</w:t>
      </w:r>
      <w:r w:rsidR="000F61E9" w:rsidRPr="007D7C46">
        <w:rPr>
          <w:sz w:val="24"/>
          <w:szCs w:val="24"/>
        </w:rPr>
        <w:t>ecturers and staff in out of school services (18</w:t>
      </w:r>
      <w:r w:rsidR="00196E79" w:rsidRPr="007D7C46">
        <w:rPr>
          <w:sz w:val="24"/>
          <w:szCs w:val="24"/>
        </w:rPr>
        <w:t>,000+) employed by Education and Training Boards (ET</w:t>
      </w:r>
      <w:bookmarkStart w:id="0" w:name="_GoBack"/>
      <w:bookmarkEnd w:id="0"/>
      <w:r w:rsidR="00196E79" w:rsidRPr="007D7C46">
        <w:rPr>
          <w:sz w:val="24"/>
          <w:szCs w:val="24"/>
        </w:rPr>
        <w:t>Bs)</w:t>
      </w:r>
      <w:r w:rsidR="000F61E9" w:rsidRPr="007D7C46">
        <w:rPr>
          <w:sz w:val="24"/>
          <w:szCs w:val="24"/>
        </w:rPr>
        <w:t xml:space="preserve">, voluntary secondary schools, </w:t>
      </w:r>
      <w:r w:rsidR="00196E79" w:rsidRPr="007D7C46">
        <w:rPr>
          <w:sz w:val="24"/>
          <w:szCs w:val="24"/>
        </w:rPr>
        <w:t>Com</w:t>
      </w:r>
      <w:r w:rsidR="001843B1" w:rsidRPr="007D7C46">
        <w:rPr>
          <w:sz w:val="24"/>
          <w:szCs w:val="24"/>
        </w:rPr>
        <w:t>munity and Comprehensive (C&amp;C) s</w:t>
      </w:r>
      <w:r w:rsidR="00196E79" w:rsidRPr="007D7C46">
        <w:rPr>
          <w:sz w:val="24"/>
          <w:szCs w:val="24"/>
        </w:rPr>
        <w:t>chools</w:t>
      </w:r>
      <w:r w:rsidR="000F61E9" w:rsidRPr="007D7C46">
        <w:rPr>
          <w:sz w:val="24"/>
          <w:szCs w:val="24"/>
        </w:rPr>
        <w:t xml:space="preserve">, </w:t>
      </w:r>
      <w:proofErr w:type="spellStart"/>
      <w:r w:rsidR="000F61E9" w:rsidRPr="007D7C46">
        <w:rPr>
          <w:sz w:val="24"/>
          <w:szCs w:val="24"/>
        </w:rPr>
        <w:t>Youthreach</w:t>
      </w:r>
      <w:proofErr w:type="spellEnd"/>
      <w:r w:rsidR="000F61E9" w:rsidRPr="007D7C46">
        <w:rPr>
          <w:sz w:val="24"/>
          <w:szCs w:val="24"/>
        </w:rPr>
        <w:t xml:space="preserve"> and institutes of technology</w:t>
      </w:r>
      <w:r w:rsidR="00196E79" w:rsidRPr="007D7C46">
        <w:rPr>
          <w:sz w:val="24"/>
          <w:szCs w:val="24"/>
        </w:rPr>
        <w:t xml:space="preserve">. </w:t>
      </w:r>
      <w:r w:rsidR="00015A69">
        <w:rPr>
          <w:sz w:val="24"/>
          <w:szCs w:val="24"/>
        </w:rPr>
        <w:t>Exemptions from the study of Irish arise mainly, though not exclusively, from the issue of special educational needs (SEN)</w:t>
      </w:r>
      <w:r w:rsidR="00476435">
        <w:rPr>
          <w:sz w:val="24"/>
          <w:szCs w:val="24"/>
        </w:rPr>
        <w:t xml:space="preserve"> and migration</w:t>
      </w:r>
      <w:r w:rsidR="00015A69">
        <w:rPr>
          <w:sz w:val="24"/>
          <w:szCs w:val="24"/>
        </w:rPr>
        <w:t xml:space="preserve">.  </w:t>
      </w:r>
      <w:r w:rsidRPr="007D7C46">
        <w:rPr>
          <w:sz w:val="24"/>
          <w:szCs w:val="24"/>
        </w:rPr>
        <w:t>C</w:t>
      </w:r>
      <w:r w:rsidR="00196E79" w:rsidRPr="007D7C46">
        <w:rPr>
          <w:sz w:val="24"/>
          <w:szCs w:val="24"/>
        </w:rPr>
        <w:t xml:space="preserve">lose examination of all relevant data indicates that schools in the ETB and C&amp;C sectors enrol, by far, the largest proportion of students with </w:t>
      </w:r>
      <w:r w:rsidR="00015A69">
        <w:rPr>
          <w:sz w:val="24"/>
          <w:szCs w:val="24"/>
        </w:rPr>
        <w:t>SEN</w:t>
      </w:r>
      <w:r w:rsidR="00196E79" w:rsidRPr="007D7C46">
        <w:rPr>
          <w:sz w:val="24"/>
          <w:szCs w:val="24"/>
        </w:rPr>
        <w:t xml:space="preserve">.   </w:t>
      </w:r>
      <w:r w:rsidR="00F0172A" w:rsidRPr="00B90F37">
        <w:t xml:space="preserve">As </w:t>
      </w:r>
      <w:r w:rsidR="00F0172A" w:rsidRPr="00F0172A">
        <w:rPr>
          <w:sz w:val="24"/>
          <w:szCs w:val="24"/>
        </w:rPr>
        <w:t>cited in Fischer (2016: 167)</w:t>
      </w:r>
    </w:p>
    <w:p w14:paraId="00AA2CA6" w14:textId="77777777" w:rsidR="00F0172A" w:rsidRPr="00B90F37" w:rsidRDefault="00F0172A" w:rsidP="00F0172A">
      <w:pPr>
        <w:autoSpaceDE w:val="0"/>
        <w:autoSpaceDN w:val="0"/>
        <w:adjustRightInd w:val="0"/>
        <w:spacing w:after="0" w:line="360" w:lineRule="auto"/>
        <w:rPr>
          <w:sz w:val="24"/>
          <w:szCs w:val="24"/>
        </w:rPr>
      </w:pPr>
      <w:r w:rsidRPr="00B90F37">
        <w:rPr>
          <w:sz w:val="24"/>
          <w:szCs w:val="24"/>
        </w:rPr>
        <w:t>“community schools and vocational or technical schools under VEC (and now ETB) management cater for a much more diverse school population and for a disproportionate number of immigrants or children of immigrants, as the results of the 2008 Departmen</w:t>
      </w:r>
      <w:r>
        <w:rPr>
          <w:sz w:val="24"/>
          <w:szCs w:val="24"/>
        </w:rPr>
        <w:t>t survey clearly showed.”</w:t>
      </w:r>
    </w:p>
    <w:p w14:paraId="1B7F7A81" w14:textId="77777777" w:rsidR="00196E79" w:rsidRPr="007D7C46" w:rsidRDefault="00196E79" w:rsidP="007D7C46">
      <w:pPr>
        <w:spacing w:line="360" w:lineRule="auto"/>
        <w:jc w:val="both"/>
        <w:rPr>
          <w:sz w:val="24"/>
          <w:szCs w:val="24"/>
        </w:rPr>
      </w:pPr>
    </w:p>
    <w:p w14:paraId="048B6210" w14:textId="77777777" w:rsidR="008457C5" w:rsidRPr="00B80181" w:rsidRDefault="008457C5" w:rsidP="007D7C46">
      <w:pPr>
        <w:spacing w:line="360" w:lineRule="auto"/>
        <w:jc w:val="both"/>
        <w:rPr>
          <w:rFonts w:eastAsiaTheme="majorEastAsia" w:cstheme="majorBidi"/>
          <w:b/>
          <w:bCs/>
          <w:sz w:val="28"/>
          <w:szCs w:val="28"/>
          <w:u w:val="single"/>
        </w:rPr>
      </w:pPr>
      <w:r w:rsidRPr="00B80181">
        <w:rPr>
          <w:rFonts w:eastAsiaTheme="majorEastAsia" w:cstheme="majorBidi"/>
          <w:b/>
          <w:bCs/>
          <w:sz w:val="28"/>
          <w:szCs w:val="28"/>
          <w:u w:val="single"/>
        </w:rPr>
        <w:t>Background</w:t>
      </w:r>
    </w:p>
    <w:p w14:paraId="723DAB75" w14:textId="2071FF38" w:rsidR="00383C04" w:rsidRPr="00383C04" w:rsidRDefault="00383C04" w:rsidP="00383C04">
      <w:pPr>
        <w:spacing w:line="360" w:lineRule="auto"/>
        <w:jc w:val="both"/>
        <w:rPr>
          <w:sz w:val="24"/>
          <w:szCs w:val="24"/>
        </w:rPr>
      </w:pPr>
      <w:r w:rsidRPr="00383C04">
        <w:rPr>
          <w:sz w:val="24"/>
          <w:szCs w:val="24"/>
        </w:rPr>
        <w:t>Ireland has an internationally acknowledged, high-</w:t>
      </w:r>
      <w:bookmarkStart w:id="1" w:name="_Hlk502824748"/>
      <w:r w:rsidRPr="00383C04">
        <w:rPr>
          <w:sz w:val="24"/>
          <w:szCs w:val="24"/>
        </w:rPr>
        <w:t>performing education system and respected teaching profession (Teaching Council, 2010; OECD, 2013; DES, 2018a; OECD, 2015a; OECD, 2009; NAP</w:t>
      </w:r>
      <w:r w:rsidR="0089023E">
        <w:rPr>
          <w:sz w:val="24"/>
          <w:szCs w:val="24"/>
        </w:rPr>
        <w:t xml:space="preserve">D, 2016; </w:t>
      </w:r>
      <w:proofErr w:type="spellStart"/>
      <w:r w:rsidR="0089023E">
        <w:rPr>
          <w:sz w:val="24"/>
          <w:szCs w:val="24"/>
        </w:rPr>
        <w:t>Comhairle</w:t>
      </w:r>
      <w:proofErr w:type="spellEnd"/>
      <w:r w:rsidR="0089023E">
        <w:rPr>
          <w:sz w:val="24"/>
          <w:szCs w:val="24"/>
        </w:rPr>
        <w:t xml:space="preserve"> </w:t>
      </w:r>
      <w:proofErr w:type="spellStart"/>
      <w:r w:rsidR="0089023E">
        <w:rPr>
          <w:sz w:val="24"/>
          <w:szCs w:val="24"/>
        </w:rPr>
        <w:t>na</w:t>
      </w:r>
      <w:proofErr w:type="spellEnd"/>
      <w:r w:rsidR="0089023E">
        <w:rPr>
          <w:sz w:val="24"/>
          <w:szCs w:val="24"/>
        </w:rPr>
        <w:t xml:space="preserve"> </w:t>
      </w:r>
      <w:proofErr w:type="spellStart"/>
      <w:r w:rsidR="0089023E">
        <w:rPr>
          <w:sz w:val="24"/>
          <w:szCs w:val="24"/>
        </w:rPr>
        <w:t>nOg</w:t>
      </w:r>
      <w:proofErr w:type="spellEnd"/>
      <w:r w:rsidR="0089023E">
        <w:rPr>
          <w:sz w:val="24"/>
          <w:szCs w:val="24"/>
        </w:rPr>
        <w:t>, 2017; Growing Up in Ireland, 2017;</w:t>
      </w:r>
      <w:r w:rsidRPr="00383C04">
        <w:rPr>
          <w:sz w:val="24"/>
          <w:szCs w:val="24"/>
        </w:rPr>
        <w:t xml:space="preserve"> IPSOS MRBI Trust in the Profes</w:t>
      </w:r>
      <w:r w:rsidR="0089023E">
        <w:rPr>
          <w:sz w:val="24"/>
          <w:szCs w:val="24"/>
        </w:rPr>
        <w:t>sions Survey, 2017; Boyle, 2017;</w:t>
      </w:r>
      <w:r w:rsidRPr="00383C04">
        <w:rPr>
          <w:sz w:val="24"/>
          <w:szCs w:val="24"/>
        </w:rPr>
        <w:t xml:space="preserve"> Scanlon &amp; McKenna, 2018; EU </w:t>
      </w:r>
      <w:r w:rsidR="0089023E">
        <w:rPr>
          <w:sz w:val="24"/>
          <w:szCs w:val="24"/>
        </w:rPr>
        <w:t>Commission/EACEA/Eurydice, 2018;</w:t>
      </w:r>
      <w:r w:rsidRPr="00383C04">
        <w:rPr>
          <w:sz w:val="24"/>
          <w:szCs w:val="24"/>
        </w:rPr>
        <w:t xml:space="preserve"> Kantar Millward Brown, 2018</w:t>
      </w:r>
      <w:r w:rsidR="0089023E">
        <w:rPr>
          <w:sz w:val="24"/>
          <w:szCs w:val="24"/>
        </w:rPr>
        <w:t>;</w:t>
      </w:r>
      <w:r w:rsidR="00476435">
        <w:rPr>
          <w:sz w:val="24"/>
          <w:szCs w:val="24"/>
        </w:rPr>
        <w:t xml:space="preserve"> Social Progress Initiative</w:t>
      </w:r>
      <w:r w:rsidR="00C570F1">
        <w:rPr>
          <w:sz w:val="24"/>
          <w:szCs w:val="24"/>
        </w:rPr>
        <w:t>, 2018</w:t>
      </w:r>
      <w:r w:rsidR="0089023E">
        <w:rPr>
          <w:sz w:val="24"/>
          <w:szCs w:val="24"/>
        </w:rPr>
        <w:t>; EU Commission, 2018</w:t>
      </w:r>
      <w:r w:rsidR="00A14C57">
        <w:rPr>
          <w:sz w:val="24"/>
          <w:szCs w:val="24"/>
        </w:rPr>
        <w:t>; United Nations Development Programme, 2018</w:t>
      </w:r>
      <w:r w:rsidR="00342095">
        <w:rPr>
          <w:sz w:val="24"/>
          <w:szCs w:val="24"/>
        </w:rPr>
        <w:t xml:space="preserve">; </w:t>
      </w:r>
      <w:r w:rsidR="00342095">
        <w:rPr>
          <w:rFonts w:eastAsia="BrandonGrotesque-Regular" w:cs="Arial"/>
          <w:sz w:val="24"/>
          <w:szCs w:val="24"/>
        </w:rPr>
        <w:t>Irish Survey of Student Engagement 2018</w:t>
      </w:r>
      <w:r w:rsidR="00D077AC">
        <w:rPr>
          <w:sz w:val="24"/>
          <w:szCs w:val="24"/>
        </w:rPr>
        <w:t>; Growing Up in Ireland, 2018</w:t>
      </w:r>
      <w:r w:rsidRPr="00383C04">
        <w:rPr>
          <w:sz w:val="24"/>
          <w:szCs w:val="24"/>
        </w:rPr>
        <w:t>) despite spending relatively little on education (OECD, 2015</w:t>
      </w:r>
      <w:bookmarkEnd w:id="1"/>
      <w:r w:rsidRPr="00383C04">
        <w:rPr>
          <w:sz w:val="24"/>
          <w:szCs w:val="24"/>
        </w:rPr>
        <w:t>b; SJI, 2018, NERI, 2018) and historic underinvestment (DES, 2018b).</w:t>
      </w:r>
      <w:r w:rsidR="00B47744">
        <w:rPr>
          <w:sz w:val="24"/>
          <w:szCs w:val="24"/>
        </w:rPr>
        <w:t xml:space="preserve">  </w:t>
      </w:r>
      <w:bookmarkStart w:id="2" w:name="_Hlk531297986"/>
      <w:proofErr w:type="gramStart"/>
      <w:r w:rsidR="00B47744">
        <w:rPr>
          <w:sz w:val="24"/>
          <w:szCs w:val="24"/>
        </w:rPr>
        <w:lastRenderedPageBreak/>
        <w:t>Indeed</w:t>
      </w:r>
      <w:proofErr w:type="gramEnd"/>
      <w:r w:rsidR="00B47744">
        <w:rPr>
          <w:sz w:val="24"/>
          <w:szCs w:val="24"/>
        </w:rPr>
        <w:t xml:space="preserve"> citizen satisfaction with the education system in Ireland is the highest of any of 22 European countries studied (Boyle, 2018).</w:t>
      </w:r>
      <w:bookmarkEnd w:id="2"/>
    </w:p>
    <w:p w14:paraId="481BBA70" w14:textId="77777777" w:rsidR="007E46FA" w:rsidRDefault="007E46FA" w:rsidP="00696401">
      <w:pPr>
        <w:autoSpaceDE w:val="0"/>
        <w:autoSpaceDN w:val="0"/>
        <w:adjustRightInd w:val="0"/>
        <w:spacing w:after="0" w:line="360" w:lineRule="auto"/>
        <w:rPr>
          <w:rFonts w:cs="Arial"/>
          <w:sz w:val="24"/>
          <w:szCs w:val="24"/>
        </w:rPr>
      </w:pPr>
    </w:p>
    <w:p w14:paraId="6ACC3ECA" w14:textId="77777777" w:rsidR="00207614" w:rsidRPr="007D7C46" w:rsidRDefault="00207614" w:rsidP="007D7C46">
      <w:pPr>
        <w:spacing w:line="360" w:lineRule="auto"/>
        <w:jc w:val="both"/>
        <w:rPr>
          <w:sz w:val="24"/>
          <w:szCs w:val="24"/>
        </w:rPr>
      </w:pPr>
      <w:r w:rsidRPr="007D7C46">
        <w:rPr>
          <w:sz w:val="24"/>
          <w:szCs w:val="24"/>
        </w:rPr>
        <w:t xml:space="preserve">Ireland has a very </w:t>
      </w:r>
      <w:r w:rsidR="00AC6DA7">
        <w:rPr>
          <w:sz w:val="24"/>
          <w:szCs w:val="24"/>
        </w:rPr>
        <w:t>young population (Eurostat, 2015</w:t>
      </w:r>
      <w:r w:rsidRPr="007D7C46">
        <w:rPr>
          <w:sz w:val="24"/>
          <w:szCs w:val="24"/>
        </w:rPr>
        <w:t xml:space="preserve">).  In 2008, we had the second highest proportion of </w:t>
      </w:r>
      <w:r w:rsidR="00B80181" w:rsidRPr="007D7C46">
        <w:rPr>
          <w:sz w:val="24"/>
          <w:szCs w:val="24"/>
        </w:rPr>
        <w:t>10-14-year</w:t>
      </w:r>
      <w:r w:rsidRPr="007D7C46">
        <w:rPr>
          <w:sz w:val="24"/>
          <w:szCs w:val="24"/>
        </w:rPr>
        <w:t xml:space="preserve"> olds in the European Union (CSO, 2009).  The high </w:t>
      </w:r>
      <w:r w:rsidR="00C2074B" w:rsidRPr="007D7C46">
        <w:rPr>
          <w:sz w:val="24"/>
          <w:szCs w:val="24"/>
        </w:rPr>
        <w:t>birth rate in Ireland (CSO, 2017; Eurostat, 2017</w:t>
      </w:r>
      <w:r w:rsidRPr="007D7C46">
        <w:rPr>
          <w:sz w:val="24"/>
          <w:szCs w:val="24"/>
        </w:rPr>
        <w:t xml:space="preserve">) indicates that the population of young people is likely to remain high for the foreseeable future.  </w:t>
      </w:r>
      <w:r w:rsidR="005B289F" w:rsidRPr="007D7C46">
        <w:rPr>
          <w:sz w:val="24"/>
          <w:szCs w:val="24"/>
        </w:rPr>
        <w:t xml:space="preserve">The </w:t>
      </w:r>
      <w:r w:rsidRPr="007D7C46">
        <w:rPr>
          <w:sz w:val="24"/>
          <w:szCs w:val="24"/>
        </w:rPr>
        <w:t>DES (20</w:t>
      </w:r>
      <w:r w:rsidR="00A04C74">
        <w:rPr>
          <w:sz w:val="24"/>
          <w:szCs w:val="24"/>
        </w:rPr>
        <w:t>12, 2017</w:t>
      </w:r>
      <w:r w:rsidRPr="007D7C46">
        <w:rPr>
          <w:sz w:val="24"/>
          <w:szCs w:val="24"/>
        </w:rPr>
        <w:t>) suggests that the number of students in the prima</w:t>
      </w:r>
      <w:r w:rsidR="00C43B5E" w:rsidRPr="007D7C46">
        <w:rPr>
          <w:sz w:val="24"/>
          <w:szCs w:val="24"/>
        </w:rPr>
        <w:t>ry school system will rise by forty-nine thousand (516,460 to 565,696)</w:t>
      </w:r>
      <w:r w:rsidRPr="007D7C46">
        <w:rPr>
          <w:sz w:val="24"/>
          <w:szCs w:val="24"/>
        </w:rPr>
        <w:t xml:space="preserve">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Pr="007D7C46">
        <w:rPr>
          <w:sz w:val="24"/>
          <w:szCs w:val="24"/>
        </w:rPr>
        <w:t xml:space="preserve"> 2019 and by </w:t>
      </w:r>
      <w:r w:rsidR="00C43B5E" w:rsidRPr="007D7C46">
        <w:rPr>
          <w:sz w:val="24"/>
          <w:szCs w:val="24"/>
        </w:rPr>
        <w:t>almost one hundred</w:t>
      </w:r>
      <w:r w:rsidR="008C7075" w:rsidRPr="007D7C46">
        <w:rPr>
          <w:sz w:val="24"/>
          <w:szCs w:val="24"/>
        </w:rPr>
        <w:t xml:space="preserve"> thousand</w:t>
      </w:r>
      <w:r w:rsidRPr="007D7C46">
        <w:rPr>
          <w:sz w:val="24"/>
          <w:szCs w:val="24"/>
        </w:rPr>
        <w:t xml:space="preserve"> in second level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00C43B5E" w:rsidRPr="007D7C46">
        <w:rPr>
          <w:sz w:val="24"/>
          <w:szCs w:val="24"/>
        </w:rPr>
        <w:t xml:space="preserve"> 2025 (322,528 to 416,897)</w:t>
      </w:r>
      <w:r w:rsidRPr="007D7C46">
        <w:rPr>
          <w:sz w:val="24"/>
          <w:szCs w:val="24"/>
        </w:rPr>
        <w:t xml:space="preserve">.  In this context, it is not sufficient to suggest that a world-class </w:t>
      </w:r>
      <w:r w:rsidR="00FE6A22" w:rsidRPr="007D7C46">
        <w:rPr>
          <w:sz w:val="24"/>
          <w:szCs w:val="24"/>
        </w:rPr>
        <w:t>out of school support system</w:t>
      </w:r>
      <w:r w:rsidRPr="007D7C46">
        <w:rPr>
          <w:sz w:val="24"/>
          <w:szCs w:val="24"/>
        </w:rPr>
        <w:t xml:space="preserve"> can be </w:t>
      </w:r>
      <w:r w:rsidR="00FE6A22" w:rsidRPr="007D7C46">
        <w:rPr>
          <w:sz w:val="24"/>
          <w:szCs w:val="24"/>
        </w:rPr>
        <w:t>sustained</w:t>
      </w:r>
      <w:r w:rsidRPr="007D7C46">
        <w:rPr>
          <w:sz w:val="24"/>
          <w:szCs w:val="24"/>
        </w:rPr>
        <w:t xml:space="preserve"> with inadequate resources of time, money or personnel.</w:t>
      </w:r>
      <w:r w:rsidR="004B21D7" w:rsidRPr="007D7C46">
        <w:rPr>
          <w:rFonts w:cs="Arial"/>
          <w:color w:val="000000"/>
          <w:sz w:val="24"/>
          <w:szCs w:val="24"/>
        </w:rPr>
        <w:t xml:space="preserve">  </w:t>
      </w:r>
      <w:r w:rsidR="00FE6A22" w:rsidRPr="007D7C46">
        <w:rPr>
          <w:rFonts w:cs="Arial"/>
          <w:color w:val="000000"/>
          <w:sz w:val="24"/>
          <w:szCs w:val="24"/>
        </w:rPr>
        <w:t xml:space="preserve">For example, </w:t>
      </w:r>
      <w:r w:rsidR="00037410">
        <w:rPr>
          <w:rFonts w:cs="Arial"/>
          <w:color w:val="000000"/>
          <w:sz w:val="24"/>
          <w:szCs w:val="24"/>
        </w:rPr>
        <w:t>NCSE (2014</w:t>
      </w:r>
      <w:r w:rsidR="004B21D7" w:rsidRPr="007D7C46">
        <w:rPr>
          <w:rFonts w:cs="Arial"/>
          <w:color w:val="000000"/>
          <w:sz w:val="24"/>
          <w:szCs w:val="24"/>
        </w:rPr>
        <w:t>)</w:t>
      </w:r>
      <w:r w:rsidR="008C1AAB" w:rsidRPr="007D7C46">
        <w:rPr>
          <w:rFonts w:cs="Arial"/>
          <w:color w:val="000000"/>
          <w:sz w:val="24"/>
          <w:szCs w:val="24"/>
        </w:rPr>
        <w:t xml:space="preserve">, </w:t>
      </w:r>
      <w:proofErr w:type="spellStart"/>
      <w:r w:rsidR="008C1AAB" w:rsidRPr="007D7C46">
        <w:rPr>
          <w:rFonts w:cs="Arial"/>
          <w:color w:val="000000"/>
          <w:sz w:val="24"/>
          <w:szCs w:val="24"/>
        </w:rPr>
        <w:t>Barnardos</w:t>
      </w:r>
      <w:proofErr w:type="spellEnd"/>
      <w:r w:rsidR="008C1AAB" w:rsidRPr="007D7C46">
        <w:rPr>
          <w:rFonts w:cs="Arial"/>
          <w:color w:val="000000"/>
          <w:sz w:val="24"/>
          <w:szCs w:val="24"/>
        </w:rPr>
        <w:t xml:space="preserve"> (2008) and Growing Up</w:t>
      </w:r>
      <w:r w:rsidR="00547022" w:rsidRPr="007D7C46">
        <w:rPr>
          <w:rFonts w:cs="Arial"/>
          <w:color w:val="000000"/>
          <w:sz w:val="24"/>
          <w:szCs w:val="24"/>
        </w:rPr>
        <w:t xml:space="preserve"> in Scotland (2012</w:t>
      </w:r>
      <w:r w:rsidR="00B0086B" w:rsidRPr="007D7C46">
        <w:rPr>
          <w:rFonts w:cs="Arial"/>
          <w:color w:val="000000"/>
          <w:sz w:val="24"/>
          <w:szCs w:val="24"/>
        </w:rPr>
        <w:t xml:space="preserve">) </w:t>
      </w:r>
      <w:r w:rsidR="008555E9" w:rsidRPr="007D7C46">
        <w:rPr>
          <w:rFonts w:cs="Arial"/>
          <w:color w:val="000000"/>
          <w:sz w:val="24"/>
          <w:szCs w:val="24"/>
        </w:rPr>
        <w:t>all show that b</w:t>
      </w:r>
      <w:r w:rsidR="008C1AAB" w:rsidRPr="007D7C46">
        <w:rPr>
          <w:rFonts w:cs="Arial"/>
          <w:color w:val="000000"/>
          <w:sz w:val="24"/>
          <w:szCs w:val="24"/>
        </w:rPr>
        <w:t>etween a q</w:t>
      </w:r>
      <w:r w:rsidR="008555E9" w:rsidRPr="007D7C46">
        <w:rPr>
          <w:rFonts w:cs="Arial"/>
          <w:color w:val="000000"/>
          <w:sz w:val="24"/>
          <w:szCs w:val="24"/>
        </w:rPr>
        <w:t>uarter and a fifth of all studen</w:t>
      </w:r>
      <w:r w:rsidR="008C1AAB" w:rsidRPr="007D7C46">
        <w:rPr>
          <w:rFonts w:cs="Arial"/>
          <w:color w:val="000000"/>
          <w:sz w:val="24"/>
          <w:szCs w:val="24"/>
        </w:rPr>
        <w:t>ts in the school system hav</w:t>
      </w:r>
      <w:r w:rsidR="00FE6A22" w:rsidRPr="007D7C46">
        <w:rPr>
          <w:rFonts w:cs="Arial"/>
          <w:color w:val="000000"/>
          <w:sz w:val="24"/>
          <w:szCs w:val="24"/>
        </w:rPr>
        <w:t xml:space="preserve">e special needs.  </w:t>
      </w:r>
    </w:p>
    <w:p w14:paraId="3891BEFF" w14:textId="77777777" w:rsidR="00207614" w:rsidRPr="007D7C46" w:rsidRDefault="00207614" w:rsidP="007D7C46">
      <w:pPr>
        <w:spacing w:line="360" w:lineRule="auto"/>
        <w:jc w:val="both"/>
        <w:rPr>
          <w:sz w:val="24"/>
          <w:szCs w:val="24"/>
        </w:rPr>
      </w:pPr>
    </w:p>
    <w:p w14:paraId="4A5920F7" w14:textId="77777777" w:rsidR="00196E79" w:rsidRPr="007D7C46" w:rsidRDefault="00196E79" w:rsidP="007D7C46">
      <w:pPr>
        <w:spacing w:line="360" w:lineRule="auto"/>
        <w:jc w:val="both"/>
        <w:rPr>
          <w:sz w:val="24"/>
          <w:szCs w:val="24"/>
        </w:rPr>
      </w:pPr>
      <w:r w:rsidRPr="007D7C46">
        <w:rPr>
          <w:sz w:val="24"/>
          <w:szCs w:val="24"/>
        </w:rPr>
        <w:t xml:space="preserve">A commitment to implementing the EPSEN Act </w:t>
      </w:r>
      <w:r w:rsidR="00C43B5E" w:rsidRPr="007D7C46">
        <w:rPr>
          <w:sz w:val="24"/>
          <w:szCs w:val="24"/>
        </w:rPr>
        <w:t xml:space="preserve">2004 </w:t>
      </w:r>
      <w:r w:rsidRPr="007D7C46">
        <w:rPr>
          <w:sz w:val="24"/>
          <w:szCs w:val="24"/>
        </w:rPr>
        <w:t xml:space="preserve">is essential if </w:t>
      </w:r>
      <w:r w:rsidR="00866555" w:rsidRPr="007D7C46">
        <w:rPr>
          <w:sz w:val="24"/>
          <w:szCs w:val="24"/>
        </w:rPr>
        <w:t xml:space="preserve">provision for students with </w:t>
      </w:r>
      <w:r w:rsidR="009D77E5" w:rsidRPr="007D7C46">
        <w:rPr>
          <w:sz w:val="24"/>
          <w:szCs w:val="24"/>
        </w:rPr>
        <w:t xml:space="preserve">special educational needs </w:t>
      </w:r>
      <w:r w:rsidR="00866555" w:rsidRPr="007D7C46">
        <w:rPr>
          <w:sz w:val="24"/>
          <w:szCs w:val="24"/>
        </w:rPr>
        <w:t>is</w:t>
      </w:r>
      <w:r w:rsidRPr="007D7C46">
        <w:rPr>
          <w:sz w:val="24"/>
          <w:szCs w:val="24"/>
        </w:rPr>
        <w:t xml:space="preserve"> to be adequately and appropriately addressed. However, full implementation will only be possible when sufficient resources are allocated to</w:t>
      </w:r>
      <w:r w:rsidRPr="007D7C46">
        <w:rPr>
          <w:i/>
          <w:sz w:val="24"/>
          <w:szCs w:val="24"/>
        </w:rPr>
        <w:t xml:space="preserve"> </w:t>
      </w:r>
      <w:r w:rsidRPr="007D7C46">
        <w:rPr>
          <w:sz w:val="24"/>
          <w:szCs w:val="24"/>
        </w:rPr>
        <w:t xml:space="preserve">primary and post-primary schools.  </w:t>
      </w:r>
      <w:r w:rsidR="009D77E5" w:rsidRPr="007D7C46">
        <w:rPr>
          <w:sz w:val="24"/>
          <w:szCs w:val="24"/>
        </w:rPr>
        <w:t>Over</w:t>
      </w:r>
      <w:r w:rsidR="00866555" w:rsidRPr="007D7C46">
        <w:rPr>
          <w:sz w:val="24"/>
          <w:szCs w:val="24"/>
        </w:rPr>
        <w:t xml:space="preserve"> ten years ago,</w:t>
      </w:r>
      <w:r w:rsidRPr="007D7C46">
        <w:rPr>
          <w:sz w:val="24"/>
          <w:szCs w:val="24"/>
        </w:rPr>
        <w:t xml:space="preserve"> TUI </w:t>
      </w:r>
      <w:r w:rsidR="009D77E5" w:rsidRPr="007D7C46">
        <w:rPr>
          <w:sz w:val="24"/>
          <w:szCs w:val="24"/>
        </w:rPr>
        <w:t xml:space="preserve">(2006) </w:t>
      </w:r>
      <w:r w:rsidRPr="007D7C46">
        <w:rPr>
          <w:sz w:val="24"/>
          <w:szCs w:val="24"/>
        </w:rPr>
        <w:t xml:space="preserve">emphasised that schools were not sufficiently resourced to implement specific elements of the EPSEN Act, </w:t>
      </w:r>
      <w:proofErr w:type="gramStart"/>
      <w:r w:rsidRPr="007D7C46">
        <w:rPr>
          <w:sz w:val="24"/>
          <w:szCs w:val="24"/>
        </w:rPr>
        <w:t>in particular designing</w:t>
      </w:r>
      <w:proofErr w:type="gramEnd"/>
      <w:r w:rsidRPr="007D7C46">
        <w:rPr>
          <w:sz w:val="24"/>
          <w:szCs w:val="24"/>
        </w:rPr>
        <w:t xml:space="preserve"> and delivering Individual Education</w:t>
      </w:r>
      <w:r w:rsidR="000E4F4D" w:rsidRPr="007D7C46">
        <w:rPr>
          <w:sz w:val="24"/>
          <w:szCs w:val="24"/>
        </w:rPr>
        <w:t xml:space="preserve"> Plans (IEPs) for SEN students.  In the absence of adequate resourcing, many of the needs of students with </w:t>
      </w:r>
      <w:r w:rsidR="00FE6A22" w:rsidRPr="007D7C46">
        <w:rPr>
          <w:sz w:val="24"/>
          <w:szCs w:val="24"/>
        </w:rPr>
        <w:t>special educational needs</w:t>
      </w:r>
      <w:r w:rsidR="000E4F4D" w:rsidRPr="007D7C46">
        <w:rPr>
          <w:sz w:val="24"/>
          <w:szCs w:val="24"/>
        </w:rPr>
        <w:t xml:space="preserve"> are falling on parents, as seen in Scotland.  Failure to meet the needs of children can, as noted by the charity Action for Sick Children Scotland, result in students</w:t>
      </w:r>
      <w:r w:rsidR="009D77E5" w:rsidRPr="007D7C46">
        <w:rPr>
          <w:sz w:val="24"/>
          <w:szCs w:val="24"/>
        </w:rPr>
        <w:t xml:space="preserve"> missing up to a year in school</w:t>
      </w:r>
      <w:r w:rsidR="000E4F4D" w:rsidRPr="007D7C46">
        <w:rPr>
          <w:sz w:val="24"/>
          <w:szCs w:val="24"/>
        </w:rPr>
        <w:t xml:space="preserve"> (Times Education Supplement Scotland, August 18</w:t>
      </w:r>
      <w:r w:rsidR="000E4F4D" w:rsidRPr="007D7C46">
        <w:rPr>
          <w:sz w:val="24"/>
          <w:szCs w:val="24"/>
          <w:vertAlign w:val="superscript"/>
        </w:rPr>
        <w:t>th</w:t>
      </w:r>
      <w:r w:rsidR="000E4F4D" w:rsidRPr="007D7C46">
        <w:rPr>
          <w:sz w:val="24"/>
          <w:szCs w:val="24"/>
        </w:rPr>
        <w:t>, 2017).</w:t>
      </w:r>
    </w:p>
    <w:p w14:paraId="585285E3" w14:textId="77777777" w:rsidR="003C3DC0" w:rsidRPr="007D7C46" w:rsidRDefault="003C3DC0" w:rsidP="007D7C46">
      <w:pPr>
        <w:spacing w:line="360" w:lineRule="auto"/>
        <w:jc w:val="both"/>
        <w:rPr>
          <w:sz w:val="24"/>
          <w:szCs w:val="24"/>
        </w:rPr>
      </w:pPr>
    </w:p>
    <w:p w14:paraId="70E72D5A" w14:textId="77777777" w:rsidR="007D7C35" w:rsidRDefault="00015A69" w:rsidP="007D5AA5">
      <w:pPr>
        <w:spacing w:line="360" w:lineRule="auto"/>
        <w:jc w:val="both"/>
        <w:rPr>
          <w:rFonts w:cs="Museo Sans Rounded 300"/>
          <w:color w:val="000000"/>
          <w:sz w:val="24"/>
          <w:szCs w:val="24"/>
        </w:rPr>
      </w:pPr>
      <w:r>
        <w:rPr>
          <w:sz w:val="24"/>
          <w:szCs w:val="24"/>
        </w:rPr>
        <w:t>C</w:t>
      </w:r>
      <w:r w:rsidR="008555E9" w:rsidRPr="007D7C46">
        <w:rPr>
          <w:sz w:val="24"/>
          <w:szCs w:val="24"/>
        </w:rPr>
        <w:t>utbacks in educ</w:t>
      </w:r>
      <w:r>
        <w:rPr>
          <w:sz w:val="24"/>
          <w:szCs w:val="24"/>
        </w:rPr>
        <w:t xml:space="preserve">ational supports </w:t>
      </w:r>
      <w:r w:rsidR="008555E9" w:rsidRPr="007D7C46">
        <w:rPr>
          <w:sz w:val="24"/>
          <w:szCs w:val="24"/>
        </w:rPr>
        <w:t xml:space="preserve">are compounded for students with </w:t>
      </w:r>
      <w:r w:rsidR="00B40FA7" w:rsidRPr="007D7C46">
        <w:rPr>
          <w:sz w:val="24"/>
          <w:szCs w:val="24"/>
        </w:rPr>
        <w:t>special educational needs</w:t>
      </w:r>
      <w:r w:rsidR="008555E9" w:rsidRPr="007D7C46">
        <w:rPr>
          <w:sz w:val="24"/>
          <w:szCs w:val="24"/>
        </w:rPr>
        <w:t xml:space="preserve"> as they also rely heavily on support services from the health sector.  </w:t>
      </w:r>
      <w:bookmarkStart w:id="3" w:name="_Hlk508898115"/>
      <w:r w:rsidR="008555E9" w:rsidRPr="007D7C46">
        <w:rPr>
          <w:sz w:val="24"/>
          <w:szCs w:val="24"/>
        </w:rPr>
        <w:t xml:space="preserve">Many of these support services are vital if a student with </w:t>
      </w:r>
      <w:r w:rsidR="006E0AE7">
        <w:rPr>
          <w:sz w:val="24"/>
          <w:szCs w:val="24"/>
        </w:rPr>
        <w:t xml:space="preserve">special </w:t>
      </w:r>
      <w:r w:rsidR="008555E9" w:rsidRPr="007D7C46">
        <w:rPr>
          <w:sz w:val="24"/>
          <w:szCs w:val="24"/>
        </w:rPr>
        <w:t xml:space="preserve">needs </w:t>
      </w:r>
      <w:r w:rsidR="000747EB">
        <w:rPr>
          <w:sz w:val="24"/>
          <w:szCs w:val="24"/>
        </w:rPr>
        <w:t xml:space="preserve">is to be </w:t>
      </w:r>
      <w:r w:rsidR="008555E9" w:rsidRPr="007D7C46">
        <w:rPr>
          <w:sz w:val="24"/>
          <w:szCs w:val="24"/>
        </w:rPr>
        <w:t xml:space="preserve">adequately </w:t>
      </w:r>
      <w:r w:rsidR="000747EB">
        <w:rPr>
          <w:sz w:val="24"/>
          <w:szCs w:val="24"/>
        </w:rPr>
        <w:t>supported</w:t>
      </w:r>
      <w:r w:rsidR="008555E9" w:rsidRPr="007D7C46">
        <w:rPr>
          <w:sz w:val="24"/>
          <w:szCs w:val="24"/>
        </w:rPr>
        <w:t xml:space="preserve">.  For example, </w:t>
      </w:r>
      <w:r w:rsidR="000747EB">
        <w:rPr>
          <w:sz w:val="24"/>
          <w:szCs w:val="24"/>
        </w:rPr>
        <w:t xml:space="preserve">in 2015, </w:t>
      </w:r>
      <w:r w:rsidR="008555E9" w:rsidRPr="007D7C46">
        <w:rPr>
          <w:sz w:val="24"/>
          <w:szCs w:val="24"/>
        </w:rPr>
        <w:t xml:space="preserve">less than half of the recommended </w:t>
      </w:r>
      <w:r w:rsidR="008555E9" w:rsidRPr="007D7C46">
        <w:rPr>
          <w:rFonts w:cs="Museo Sans Rounded 300"/>
          <w:color w:val="000000"/>
          <w:sz w:val="24"/>
          <w:szCs w:val="24"/>
        </w:rPr>
        <w:t xml:space="preserve">127 specialist Child and Adolescent </w:t>
      </w:r>
      <w:r w:rsidR="008555E9" w:rsidRPr="007D7C46">
        <w:rPr>
          <w:rFonts w:cs="Museo Sans Rounded 300"/>
          <w:color w:val="000000"/>
          <w:sz w:val="24"/>
          <w:szCs w:val="24"/>
        </w:rPr>
        <w:lastRenderedPageBreak/>
        <w:t>Mental He</w:t>
      </w:r>
      <w:r w:rsidR="000747EB">
        <w:rPr>
          <w:rFonts w:cs="Museo Sans Rounded 300"/>
          <w:color w:val="000000"/>
          <w:sz w:val="24"/>
          <w:szCs w:val="24"/>
        </w:rPr>
        <w:t>alth Services (CAMHS) teams had</w:t>
      </w:r>
      <w:r w:rsidR="008555E9" w:rsidRPr="007D7C46">
        <w:rPr>
          <w:rFonts w:cs="Museo Sans Rounded 300"/>
          <w:color w:val="000000"/>
          <w:sz w:val="24"/>
          <w:szCs w:val="24"/>
        </w:rPr>
        <w:t xml:space="preserve"> been estab</w:t>
      </w:r>
      <w:r w:rsidR="000747EB">
        <w:rPr>
          <w:rFonts w:cs="Museo Sans Rounded 300"/>
          <w:color w:val="000000"/>
          <w:sz w:val="24"/>
          <w:szCs w:val="24"/>
        </w:rPr>
        <w:t xml:space="preserve">lished, 472 children in care </w:t>
      </w:r>
      <w:r w:rsidR="00F00375">
        <w:rPr>
          <w:rFonts w:cs="Museo Sans Rounded 300"/>
          <w:color w:val="000000"/>
          <w:sz w:val="24"/>
          <w:szCs w:val="24"/>
        </w:rPr>
        <w:t>did</w:t>
      </w:r>
      <w:r w:rsidR="008555E9" w:rsidRPr="007D7C46">
        <w:rPr>
          <w:rFonts w:cs="Museo Sans Rounded 300"/>
          <w:color w:val="000000"/>
          <w:sz w:val="24"/>
          <w:szCs w:val="24"/>
        </w:rPr>
        <w:t xml:space="preserve"> not have a social wor</w:t>
      </w:r>
      <w:r w:rsidR="000747EB">
        <w:rPr>
          <w:rFonts w:cs="Museo Sans Rounded 300"/>
          <w:color w:val="000000"/>
          <w:sz w:val="24"/>
          <w:szCs w:val="24"/>
        </w:rPr>
        <w:t xml:space="preserve">ker, 673 children in care </w:t>
      </w:r>
      <w:r w:rsidR="00F00375">
        <w:rPr>
          <w:rFonts w:cs="Museo Sans Rounded 300"/>
          <w:color w:val="000000"/>
          <w:sz w:val="24"/>
          <w:szCs w:val="24"/>
        </w:rPr>
        <w:t>did</w:t>
      </w:r>
      <w:r w:rsidR="000747EB">
        <w:rPr>
          <w:rFonts w:cs="Museo Sans Rounded 300"/>
          <w:color w:val="000000"/>
          <w:sz w:val="24"/>
          <w:szCs w:val="24"/>
        </w:rPr>
        <w:t xml:space="preserve"> not</w:t>
      </w:r>
      <w:r w:rsidR="008555E9" w:rsidRPr="007D7C46">
        <w:rPr>
          <w:rFonts w:cs="Museo Sans Rounded 300"/>
          <w:color w:val="000000"/>
          <w:sz w:val="24"/>
          <w:szCs w:val="24"/>
        </w:rPr>
        <w:t xml:space="preserve"> have a care plan whilst there </w:t>
      </w:r>
      <w:r w:rsidR="000747EB">
        <w:rPr>
          <w:rFonts w:cs="Museo Sans Rounded 300"/>
          <w:color w:val="000000"/>
          <w:sz w:val="24"/>
          <w:szCs w:val="24"/>
        </w:rPr>
        <w:t>a</w:t>
      </w:r>
      <w:r w:rsidR="008555E9" w:rsidRPr="007D7C46">
        <w:rPr>
          <w:rFonts w:cs="Museo Sans Rounded 300"/>
          <w:color w:val="000000"/>
          <w:sz w:val="24"/>
          <w:szCs w:val="24"/>
        </w:rPr>
        <w:t>re 8,161 c</w:t>
      </w:r>
      <w:r w:rsidR="000747EB">
        <w:rPr>
          <w:rFonts w:cs="Museo Sans Rounded 300"/>
          <w:color w:val="000000"/>
          <w:sz w:val="24"/>
          <w:szCs w:val="24"/>
        </w:rPr>
        <w:t>hild protection cases which had</w:t>
      </w:r>
      <w:r w:rsidR="008555E9" w:rsidRPr="007D7C46">
        <w:rPr>
          <w:rFonts w:cs="Museo Sans Rounded 300"/>
          <w:color w:val="000000"/>
          <w:sz w:val="24"/>
          <w:szCs w:val="24"/>
        </w:rPr>
        <w:t xml:space="preserve"> not been allocated a social worker including 2,829 deemed ‘high priority’ (Child</w:t>
      </w:r>
      <w:r w:rsidR="00596E64">
        <w:rPr>
          <w:rFonts w:cs="Museo Sans Rounded 300"/>
          <w:color w:val="000000"/>
          <w:sz w:val="24"/>
          <w:szCs w:val="24"/>
        </w:rPr>
        <w:t>ren’s Rights Alliance, 2015).  In March 2018, 2,691 children and young adults were waiting for a CAMHS appointment, including 386 who were waiting more than 12 months and 128 who were waiting more than 18 months (Irish Times September 10</w:t>
      </w:r>
      <w:r w:rsidR="00596E64">
        <w:rPr>
          <w:rFonts w:cs="Museo Sans Rounded 300"/>
          <w:color w:val="000000"/>
          <w:sz w:val="24"/>
          <w:szCs w:val="24"/>
          <w:vertAlign w:val="superscript"/>
        </w:rPr>
        <w:t>th</w:t>
      </w:r>
      <w:r w:rsidR="00596E64">
        <w:rPr>
          <w:rFonts w:cs="Museo Sans Rounded 300"/>
          <w:color w:val="000000"/>
          <w:sz w:val="24"/>
          <w:szCs w:val="24"/>
        </w:rPr>
        <w:t xml:space="preserve">, 2018). </w:t>
      </w:r>
      <w:r w:rsidR="00104EEA">
        <w:rPr>
          <w:rFonts w:cs="Museo Sans Rounded 300"/>
          <w:color w:val="000000"/>
          <w:sz w:val="24"/>
          <w:szCs w:val="24"/>
        </w:rPr>
        <w:t>In November 2018 37,473 children were “in some health queue waiting for an assessment for mental health, disability or speech and language problems” (Irish Independent Nov 28</w:t>
      </w:r>
      <w:r w:rsidR="00104EEA" w:rsidRPr="005673AB">
        <w:rPr>
          <w:rFonts w:cs="Museo Sans Rounded 300"/>
          <w:color w:val="000000"/>
          <w:sz w:val="24"/>
          <w:szCs w:val="24"/>
          <w:vertAlign w:val="superscript"/>
        </w:rPr>
        <w:t>th</w:t>
      </w:r>
      <w:proofErr w:type="gramStart"/>
      <w:r w:rsidR="00104EEA">
        <w:rPr>
          <w:rFonts w:cs="Museo Sans Rounded 300"/>
          <w:color w:val="000000"/>
          <w:sz w:val="24"/>
          <w:szCs w:val="24"/>
        </w:rPr>
        <w:t xml:space="preserve"> 2018</w:t>
      </w:r>
      <w:proofErr w:type="gramEnd"/>
      <w:r w:rsidR="00104EEA">
        <w:rPr>
          <w:rFonts w:cs="Museo Sans Rounded 300"/>
          <w:color w:val="000000"/>
          <w:sz w:val="24"/>
          <w:szCs w:val="24"/>
        </w:rPr>
        <w:t xml:space="preserve">).  </w:t>
      </w:r>
      <w:r w:rsidR="00596E64">
        <w:rPr>
          <w:rFonts w:cs="Museo Sans Rounded 300"/>
          <w:color w:val="000000"/>
          <w:sz w:val="24"/>
          <w:szCs w:val="24"/>
        </w:rPr>
        <w:t>F</w:t>
      </w:r>
      <w:r w:rsidR="008555E9" w:rsidRPr="007D7C46">
        <w:rPr>
          <w:rFonts w:cs="Museo Sans Rounded 300"/>
          <w:color w:val="000000"/>
          <w:sz w:val="24"/>
          <w:szCs w:val="24"/>
        </w:rPr>
        <w:t xml:space="preserve">urthermore, in a study of 33 countries, Ireland had the seventh highest ratio of students to school psychologists i.e. 5,298:1 as opposed to 927:1 in Denmark for example (Jimerson et al., 2009).  The average in the study was 3,709:1. For Ireland to reach </w:t>
      </w:r>
      <w:proofErr w:type="gramStart"/>
      <w:r w:rsidR="008555E9" w:rsidRPr="007D7C46">
        <w:rPr>
          <w:rFonts w:cs="Museo Sans Rounded 300"/>
          <w:color w:val="000000"/>
          <w:sz w:val="24"/>
          <w:szCs w:val="24"/>
        </w:rPr>
        <w:t>a reasonable rate of 2500 students</w:t>
      </w:r>
      <w:proofErr w:type="gramEnd"/>
      <w:r w:rsidR="008555E9" w:rsidRPr="007D7C46">
        <w:rPr>
          <w:rFonts w:cs="Museo Sans Rounded 300"/>
          <w:color w:val="000000"/>
          <w:sz w:val="24"/>
          <w:szCs w:val="24"/>
        </w:rPr>
        <w:t xml:space="preserve"> per psychologist, taking into account demographic group, would require the employment of 267 more psychologists by 2021 (Impact, 2015).  </w:t>
      </w:r>
      <w:r w:rsidR="002A70E5">
        <w:rPr>
          <w:rFonts w:cs="Museo Sans Rounded 300"/>
          <w:color w:val="000000"/>
          <w:sz w:val="24"/>
          <w:szCs w:val="24"/>
        </w:rPr>
        <w:t xml:space="preserve">Understaffing in NEPS is also a concern of the Oireachtas (2018).  </w:t>
      </w:r>
      <w:r w:rsidR="00FC0AD0" w:rsidRPr="007D7C46">
        <w:rPr>
          <w:rFonts w:cs="Museo Sans Rounded 300"/>
          <w:color w:val="000000"/>
          <w:sz w:val="24"/>
          <w:szCs w:val="24"/>
        </w:rPr>
        <w:t>In 2017, there were 2,767 children waiting for a first appointment with CAMHS whilst Ireland has the fourth highest incidence of teenage suicide in the European Union (Children’s Rights Alliance, 2018</w:t>
      </w:r>
      <w:bookmarkStart w:id="4" w:name="_Hlk517186103"/>
      <w:r w:rsidR="00FC0AD0" w:rsidRPr="007D7C46">
        <w:rPr>
          <w:rFonts w:cs="Museo Sans Rounded 300"/>
          <w:color w:val="000000"/>
          <w:sz w:val="24"/>
          <w:szCs w:val="24"/>
        </w:rPr>
        <w:t xml:space="preserve">).  </w:t>
      </w:r>
      <w:r w:rsidR="007D7C35">
        <w:rPr>
          <w:rFonts w:cs="Museo Sans Rounded 300"/>
          <w:color w:val="000000"/>
          <w:sz w:val="24"/>
          <w:szCs w:val="24"/>
        </w:rPr>
        <w:t>OCO (2018:4) made clear that</w:t>
      </w:r>
    </w:p>
    <w:p w14:paraId="6FC3D85E" w14:textId="77777777" w:rsidR="007D7C35" w:rsidRPr="007D7C35" w:rsidRDefault="007D7C35" w:rsidP="007D5AA5">
      <w:pPr>
        <w:autoSpaceDE w:val="0"/>
        <w:autoSpaceDN w:val="0"/>
        <w:adjustRightInd w:val="0"/>
        <w:spacing w:after="0" w:line="360" w:lineRule="auto"/>
        <w:jc w:val="both"/>
        <w:rPr>
          <w:rFonts w:cs="Museo Sans Rounded 300"/>
          <w:color w:val="000000"/>
          <w:sz w:val="24"/>
          <w:szCs w:val="24"/>
        </w:rPr>
      </w:pPr>
      <w:r w:rsidRPr="007D7C35">
        <w:rPr>
          <w:rFonts w:cs="Museo Sans Rounded 300"/>
          <w:color w:val="000000"/>
          <w:sz w:val="24"/>
          <w:szCs w:val="24"/>
        </w:rPr>
        <w:t>“This Office is concerned with staffing problems in the Child and Adolescent Mental Health Services (CAMHS) which means that children experiencing escalating levels of stress and anxiety are often unable to access the emergency supports they need.”</w:t>
      </w:r>
    </w:p>
    <w:bookmarkEnd w:id="4"/>
    <w:p w14:paraId="475085F5" w14:textId="77777777" w:rsidR="009D40FE" w:rsidRDefault="008555E9" w:rsidP="007D5AA5">
      <w:pPr>
        <w:spacing w:line="360" w:lineRule="auto"/>
        <w:jc w:val="both"/>
        <w:rPr>
          <w:rFonts w:cs="Museo Sans Rounded 300"/>
          <w:color w:val="000000"/>
          <w:sz w:val="24"/>
          <w:szCs w:val="24"/>
        </w:rPr>
      </w:pPr>
      <w:r w:rsidRPr="007D7C46">
        <w:rPr>
          <w:rFonts w:cs="Museo Sans Rounded 300"/>
          <w:color w:val="000000"/>
          <w:sz w:val="24"/>
          <w:szCs w:val="24"/>
        </w:rPr>
        <w:t>This is all within the contex</w:t>
      </w:r>
      <w:r w:rsidR="000747EB">
        <w:rPr>
          <w:rFonts w:cs="Museo Sans Rounded 300"/>
          <w:color w:val="000000"/>
          <w:sz w:val="24"/>
          <w:szCs w:val="24"/>
        </w:rPr>
        <w:t>t that during 2014</w:t>
      </w:r>
      <w:r w:rsidRPr="007D7C46">
        <w:rPr>
          <w:rFonts w:cs="Museo Sans Rounded 300"/>
          <w:color w:val="000000"/>
          <w:sz w:val="24"/>
          <w:szCs w:val="24"/>
        </w:rPr>
        <w:t xml:space="preserve">, the </w:t>
      </w:r>
      <w:r w:rsidR="000747EB">
        <w:rPr>
          <w:rFonts w:cs="Museo Sans Rounded 300"/>
          <w:color w:val="000000"/>
          <w:sz w:val="24"/>
          <w:szCs w:val="24"/>
        </w:rPr>
        <w:t xml:space="preserve">then </w:t>
      </w:r>
      <w:r w:rsidRPr="007D7C46">
        <w:rPr>
          <w:rFonts w:cs="Museo Sans Rounded 300"/>
          <w:color w:val="000000"/>
          <w:sz w:val="24"/>
          <w:szCs w:val="24"/>
        </w:rPr>
        <w:t>TUSLA Chief Executive publicly stated that the Agency required additional funding of €45 million ‘just to stand still’ (Irish Times December 30</w:t>
      </w:r>
      <w:r w:rsidRPr="007D7C46">
        <w:rPr>
          <w:rFonts w:cs="Museo Sans Rounded 300"/>
          <w:color w:val="000000"/>
          <w:sz w:val="24"/>
          <w:szCs w:val="24"/>
          <w:vertAlign w:val="superscript"/>
        </w:rPr>
        <w:t>th</w:t>
      </w:r>
      <w:r w:rsidR="00B80181" w:rsidRPr="007D7C46">
        <w:rPr>
          <w:rFonts w:cs="Museo Sans Rounded 300"/>
          <w:color w:val="000000"/>
          <w:sz w:val="24"/>
          <w:szCs w:val="24"/>
        </w:rPr>
        <w:t>, 2014</w:t>
      </w:r>
      <w:r w:rsidRPr="007D7C46">
        <w:rPr>
          <w:rFonts w:cs="Museo Sans Rounded 300"/>
          <w:color w:val="000000"/>
          <w:sz w:val="24"/>
          <w:szCs w:val="24"/>
        </w:rPr>
        <w:t xml:space="preserve">).  </w:t>
      </w:r>
      <w:r w:rsidR="009D40FE">
        <w:rPr>
          <w:rFonts w:cs="Museo Sans Rounded 300"/>
          <w:color w:val="000000"/>
          <w:sz w:val="24"/>
          <w:szCs w:val="24"/>
        </w:rPr>
        <w:t>Indeed, TUSLA (2018) stated that</w:t>
      </w:r>
    </w:p>
    <w:p w14:paraId="772FF2EC" w14:textId="77777777" w:rsidR="009D40FE" w:rsidRPr="009D40FE" w:rsidRDefault="009D40FE" w:rsidP="007D5AA5">
      <w:pPr>
        <w:spacing w:line="360" w:lineRule="auto"/>
        <w:jc w:val="both"/>
        <w:rPr>
          <w:rFonts w:cs="Museo Sans Rounded 300"/>
          <w:color w:val="000000"/>
          <w:sz w:val="24"/>
          <w:szCs w:val="24"/>
        </w:rPr>
      </w:pPr>
      <w:r w:rsidRPr="009D40FE">
        <w:rPr>
          <w:rFonts w:cs="Museo Sans Rounded 300"/>
          <w:color w:val="000000"/>
          <w:sz w:val="24"/>
          <w:szCs w:val="24"/>
        </w:rPr>
        <w:t xml:space="preserve">“While additional funding has been agreed for 2018, significant additional funding will be required for 2019 and 2020 to continue to grow </w:t>
      </w:r>
      <w:proofErr w:type="spellStart"/>
      <w:r w:rsidRPr="009D40FE">
        <w:rPr>
          <w:rFonts w:cs="Museo Sans Rounded 300"/>
          <w:color w:val="000000"/>
          <w:sz w:val="24"/>
          <w:szCs w:val="24"/>
        </w:rPr>
        <w:t>Tusla</w:t>
      </w:r>
      <w:proofErr w:type="spellEnd"/>
      <w:r w:rsidRPr="009D40FE">
        <w:rPr>
          <w:rFonts w:cs="Museo Sans Rounded 300"/>
          <w:color w:val="000000"/>
          <w:sz w:val="24"/>
          <w:szCs w:val="24"/>
        </w:rPr>
        <w:t xml:space="preserve"> as a self-sufficient organisation. It will also be important to be able to continue to respond to new Government policy and legislative requirements as they emerge.”</w:t>
      </w:r>
    </w:p>
    <w:p w14:paraId="05874FA8" w14:textId="77777777" w:rsidR="001373E0" w:rsidRDefault="001373E0" w:rsidP="007D5AA5">
      <w:pPr>
        <w:autoSpaceDE w:val="0"/>
        <w:autoSpaceDN w:val="0"/>
        <w:adjustRightInd w:val="0"/>
        <w:spacing w:after="0" w:line="360" w:lineRule="auto"/>
        <w:jc w:val="both"/>
        <w:rPr>
          <w:rFonts w:cs="Arial"/>
          <w:color w:val="000000"/>
          <w:sz w:val="24"/>
          <w:szCs w:val="24"/>
        </w:rPr>
      </w:pPr>
      <w:r>
        <w:rPr>
          <w:rFonts w:cs="Arial"/>
          <w:color w:val="000000"/>
          <w:sz w:val="24"/>
          <w:szCs w:val="24"/>
        </w:rPr>
        <w:t xml:space="preserve">Budget 2019 did give </w:t>
      </w:r>
      <w:proofErr w:type="spellStart"/>
      <w:r>
        <w:rPr>
          <w:rFonts w:cs="Arial"/>
          <w:color w:val="000000"/>
          <w:sz w:val="24"/>
          <w:szCs w:val="24"/>
        </w:rPr>
        <w:t>Tusla</w:t>
      </w:r>
      <w:proofErr w:type="spellEnd"/>
      <w:r>
        <w:rPr>
          <w:rFonts w:cs="Arial"/>
          <w:color w:val="000000"/>
          <w:sz w:val="24"/>
          <w:szCs w:val="24"/>
        </w:rPr>
        <w:t xml:space="preserve"> an increase in its budget of €30m to €786m (Irish Examiner 9/10/2018) but gaps remain.</w:t>
      </w:r>
    </w:p>
    <w:p w14:paraId="3307A6B1" w14:textId="77777777" w:rsidR="00996DAF" w:rsidRPr="009F010D" w:rsidRDefault="00996DAF" w:rsidP="007D5AA5">
      <w:pPr>
        <w:autoSpaceDE w:val="0"/>
        <w:autoSpaceDN w:val="0"/>
        <w:adjustRightInd w:val="0"/>
        <w:spacing w:after="0" w:line="360" w:lineRule="auto"/>
        <w:jc w:val="both"/>
        <w:rPr>
          <w:sz w:val="24"/>
          <w:szCs w:val="24"/>
        </w:rPr>
      </w:pPr>
    </w:p>
    <w:p w14:paraId="479292CA" w14:textId="77777777" w:rsidR="00D750D5" w:rsidRDefault="00D750D5" w:rsidP="007D5AA5">
      <w:pPr>
        <w:spacing w:line="360" w:lineRule="auto"/>
        <w:jc w:val="both"/>
        <w:rPr>
          <w:rFonts w:cs="Museo Sans Rounded 300"/>
          <w:color w:val="000000"/>
          <w:sz w:val="24"/>
          <w:szCs w:val="24"/>
        </w:rPr>
      </w:pPr>
      <w:r>
        <w:rPr>
          <w:rFonts w:cs="Museo Sans Rounded 300"/>
          <w:color w:val="000000"/>
          <w:sz w:val="24"/>
          <w:szCs w:val="24"/>
        </w:rPr>
        <w:lastRenderedPageBreak/>
        <w:t>RTE News (September 23</w:t>
      </w:r>
      <w:r w:rsidRPr="00D750D5">
        <w:rPr>
          <w:rFonts w:cs="Museo Sans Rounded 300"/>
          <w:color w:val="000000"/>
          <w:sz w:val="24"/>
          <w:szCs w:val="24"/>
        </w:rPr>
        <w:t>rd</w:t>
      </w:r>
      <w:proofErr w:type="gramStart"/>
      <w:r>
        <w:rPr>
          <w:rFonts w:cs="Museo Sans Rounded 300"/>
          <w:color w:val="000000"/>
          <w:sz w:val="24"/>
          <w:szCs w:val="24"/>
        </w:rPr>
        <w:t xml:space="preserve"> 2018</w:t>
      </w:r>
      <w:proofErr w:type="gramEnd"/>
      <w:r>
        <w:rPr>
          <w:rFonts w:cs="Museo Sans Rounded 300"/>
          <w:color w:val="000000"/>
          <w:sz w:val="24"/>
          <w:szCs w:val="24"/>
        </w:rPr>
        <w:t xml:space="preserve">) reported that less than 10% of the number of staff required for CAMHS intellectual disabilities were in place.  </w:t>
      </w:r>
      <w:proofErr w:type="gramStart"/>
      <w:r>
        <w:rPr>
          <w:rFonts w:cs="Museo Sans Rounded 300"/>
          <w:color w:val="000000"/>
          <w:sz w:val="24"/>
          <w:szCs w:val="24"/>
        </w:rPr>
        <w:t>This compounds difficulties</w:t>
      </w:r>
      <w:proofErr w:type="gramEnd"/>
      <w:r>
        <w:rPr>
          <w:rFonts w:cs="Museo Sans Rounded 300"/>
          <w:color w:val="000000"/>
          <w:sz w:val="24"/>
          <w:szCs w:val="24"/>
        </w:rPr>
        <w:t xml:space="preserve"> in schools caused by the loss of pastoral supports such as Assistant Principal positions, a situation that the DES (2014) itself described as “unsustainable”.</w:t>
      </w:r>
    </w:p>
    <w:p w14:paraId="5D163BF4" w14:textId="77777777" w:rsidR="00444AE4" w:rsidRPr="00015A69" w:rsidRDefault="00742439" w:rsidP="007D5AA5">
      <w:pPr>
        <w:spacing w:line="360" w:lineRule="auto"/>
        <w:jc w:val="both"/>
        <w:rPr>
          <w:rFonts w:cs="Museo Sans Rounded 300"/>
          <w:color w:val="000000"/>
          <w:sz w:val="24"/>
          <w:szCs w:val="24"/>
        </w:rPr>
      </w:pPr>
      <w:r>
        <w:rPr>
          <w:rFonts w:cs="Museo Sans Rounded 300"/>
          <w:color w:val="000000"/>
          <w:sz w:val="24"/>
          <w:szCs w:val="24"/>
        </w:rPr>
        <w:t xml:space="preserve">The </w:t>
      </w:r>
      <w:proofErr w:type="spellStart"/>
      <w:r>
        <w:rPr>
          <w:rFonts w:cs="Museo Sans Rounded 300"/>
          <w:color w:val="000000"/>
          <w:sz w:val="24"/>
          <w:szCs w:val="24"/>
        </w:rPr>
        <w:t>Tusla</w:t>
      </w:r>
      <w:proofErr w:type="spellEnd"/>
      <w:r>
        <w:rPr>
          <w:rFonts w:cs="Museo Sans Rounded 300"/>
          <w:color w:val="000000"/>
          <w:sz w:val="24"/>
          <w:szCs w:val="24"/>
        </w:rPr>
        <w:t xml:space="preserve"> budget has increased since 2014 but as recently as March 2018 </w:t>
      </w:r>
      <w:proofErr w:type="spellStart"/>
      <w:r>
        <w:rPr>
          <w:rFonts w:cs="Museo Sans Rounded 300"/>
          <w:color w:val="000000"/>
          <w:sz w:val="24"/>
          <w:szCs w:val="24"/>
        </w:rPr>
        <w:t>Tusla</w:t>
      </w:r>
      <w:proofErr w:type="spellEnd"/>
      <w:r>
        <w:rPr>
          <w:rFonts w:cs="Museo Sans Rounded 300"/>
          <w:color w:val="000000"/>
          <w:sz w:val="24"/>
          <w:szCs w:val="24"/>
        </w:rPr>
        <w:t xml:space="preserve"> was short almost three hundred social workers (TheJournal.ie March 28th</w:t>
      </w:r>
      <w:proofErr w:type="gramStart"/>
      <w:r>
        <w:rPr>
          <w:rFonts w:cs="Museo Sans Rounded 300"/>
          <w:color w:val="000000"/>
          <w:sz w:val="24"/>
          <w:szCs w:val="24"/>
        </w:rPr>
        <w:t xml:space="preserve"> 2018</w:t>
      </w:r>
      <w:proofErr w:type="gramEnd"/>
      <w:r>
        <w:rPr>
          <w:rFonts w:cs="Museo Sans Rounded 300"/>
          <w:color w:val="000000"/>
          <w:sz w:val="24"/>
          <w:szCs w:val="24"/>
        </w:rPr>
        <w:t xml:space="preserve">) and more than 4,000 children who were referred to protection and welfare services were waiting to be allocated a social worker (Irish Independent March 29th 2018). </w:t>
      </w:r>
      <w:r w:rsidR="00015A69">
        <w:rPr>
          <w:rFonts w:cs="Museo Sans Rounded 300"/>
          <w:color w:val="000000"/>
          <w:sz w:val="24"/>
          <w:szCs w:val="24"/>
        </w:rPr>
        <w:t xml:space="preserve"> </w:t>
      </w:r>
    </w:p>
    <w:p w14:paraId="7E3089ED" w14:textId="77777777" w:rsidR="007D5AA5" w:rsidRPr="007D5AA5" w:rsidRDefault="007D5AA5" w:rsidP="007D5AA5">
      <w:pPr>
        <w:autoSpaceDE w:val="0"/>
        <w:autoSpaceDN w:val="0"/>
        <w:adjustRightInd w:val="0"/>
        <w:spacing w:after="0" w:line="360" w:lineRule="auto"/>
        <w:jc w:val="both"/>
        <w:rPr>
          <w:rFonts w:cs="Museo Sans Rounded 300"/>
          <w:color w:val="000000"/>
          <w:sz w:val="24"/>
          <w:szCs w:val="24"/>
        </w:rPr>
      </w:pPr>
      <w:r w:rsidRPr="007D5AA5">
        <w:rPr>
          <w:rFonts w:cs="Museo Sans Rounded 300"/>
          <w:color w:val="000000"/>
          <w:sz w:val="24"/>
          <w:szCs w:val="24"/>
        </w:rPr>
        <w:t>In October 2018, 36,531 people were waiting for speech and language therapy (SLT) with a further 32,103 waiting for occupational therapy (OT).  One-quarter of those waiting for an OT assessment had been waiting more than a year (Sunday Independent December 16th</w:t>
      </w:r>
      <w:proofErr w:type="gramStart"/>
      <w:r w:rsidRPr="007D5AA5">
        <w:rPr>
          <w:rFonts w:cs="Museo Sans Rounded 300"/>
          <w:color w:val="000000"/>
          <w:sz w:val="24"/>
          <w:szCs w:val="24"/>
        </w:rPr>
        <w:t xml:space="preserve"> 2018</w:t>
      </w:r>
      <w:proofErr w:type="gramEnd"/>
      <w:r w:rsidRPr="007D5AA5">
        <w:rPr>
          <w:rFonts w:cs="Museo Sans Rounded 300"/>
          <w:color w:val="000000"/>
          <w:sz w:val="24"/>
          <w:szCs w:val="24"/>
        </w:rPr>
        <w:t>).</w:t>
      </w:r>
    </w:p>
    <w:p w14:paraId="3906E10C" w14:textId="77777777" w:rsidR="00742439" w:rsidRDefault="00742439" w:rsidP="007D5AA5">
      <w:pPr>
        <w:spacing w:line="360" w:lineRule="auto"/>
        <w:jc w:val="both"/>
        <w:rPr>
          <w:rFonts w:cs="Museo Sans Rounded 300"/>
          <w:color w:val="000000"/>
          <w:sz w:val="24"/>
          <w:szCs w:val="24"/>
        </w:rPr>
      </w:pPr>
    </w:p>
    <w:p w14:paraId="57F4684B" w14:textId="77777777" w:rsidR="008555E9" w:rsidRPr="007D7C46" w:rsidRDefault="008555E9" w:rsidP="007D7C46">
      <w:pPr>
        <w:spacing w:line="360" w:lineRule="auto"/>
        <w:jc w:val="both"/>
        <w:rPr>
          <w:sz w:val="24"/>
          <w:szCs w:val="24"/>
        </w:rPr>
      </w:pPr>
      <w:r w:rsidRPr="007D7C46">
        <w:rPr>
          <w:rFonts w:cs="Museo Sans Rounded 300"/>
          <w:color w:val="000000"/>
          <w:sz w:val="24"/>
          <w:szCs w:val="24"/>
        </w:rPr>
        <w:t>Many of the above difficulties also arise when schools are trying to support a child in accessing speech and</w:t>
      </w:r>
      <w:r w:rsidR="00FC0AD0" w:rsidRPr="007D7C46">
        <w:rPr>
          <w:rFonts w:cs="Museo Sans Rounded 300"/>
          <w:color w:val="000000"/>
          <w:sz w:val="24"/>
          <w:szCs w:val="24"/>
        </w:rPr>
        <w:t xml:space="preserve"> language therapy for example (I</w:t>
      </w:r>
      <w:r w:rsidRPr="007D7C46">
        <w:rPr>
          <w:rFonts w:cs="Museo Sans Rounded 300"/>
          <w:color w:val="000000"/>
          <w:sz w:val="24"/>
          <w:szCs w:val="24"/>
        </w:rPr>
        <w:t>rish Examiner, September 22</w:t>
      </w:r>
      <w:r w:rsidRPr="007D7C46">
        <w:rPr>
          <w:rFonts w:cs="Museo Sans Rounded 300"/>
          <w:color w:val="000000"/>
          <w:sz w:val="24"/>
          <w:szCs w:val="24"/>
          <w:vertAlign w:val="superscript"/>
        </w:rPr>
        <w:t>nd</w:t>
      </w:r>
      <w:r w:rsidRPr="007D7C46">
        <w:rPr>
          <w:rFonts w:cs="Museo Sans Rounded 300"/>
          <w:color w:val="000000"/>
          <w:sz w:val="24"/>
          <w:szCs w:val="24"/>
        </w:rPr>
        <w:t>, 2014).</w:t>
      </w:r>
      <w:r w:rsidR="00383317" w:rsidRPr="007D7C46">
        <w:rPr>
          <w:rFonts w:cs="Museo Sans Rounded 300"/>
          <w:color w:val="000000"/>
          <w:sz w:val="24"/>
          <w:szCs w:val="24"/>
        </w:rPr>
        <w:t xml:space="preserve">  </w:t>
      </w:r>
      <w:r w:rsidR="00FC0AD0" w:rsidRPr="007D7C46">
        <w:rPr>
          <w:rFonts w:cs="Museo Sans Rounded 300"/>
          <w:color w:val="000000"/>
          <w:sz w:val="24"/>
          <w:szCs w:val="24"/>
        </w:rPr>
        <w:t xml:space="preserve">Children’s Rights Alliance (2018) highlights the 314 children who have been waiting over one year for a speech and language therapy assessment.  </w:t>
      </w:r>
      <w:r w:rsidR="00383317" w:rsidRPr="007D7C46">
        <w:rPr>
          <w:rFonts w:cs="Museo Sans Rounded 300"/>
          <w:color w:val="000000"/>
          <w:sz w:val="24"/>
          <w:szCs w:val="24"/>
        </w:rPr>
        <w:t xml:space="preserve">It is interesting to note that Finnish schools have access to a </w:t>
      </w:r>
      <w:r w:rsidR="00383317" w:rsidRPr="007D7C46">
        <w:rPr>
          <w:rFonts w:cs="Arial"/>
          <w:sz w:val="24"/>
          <w:szCs w:val="24"/>
        </w:rPr>
        <w:t>school psychologist,</w:t>
      </w:r>
      <w:r w:rsidR="00B604AB" w:rsidRPr="007D7C46">
        <w:rPr>
          <w:rFonts w:cs="Arial"/>
          <w:sz w:val="24"/>
          <w:szCs w:val="24"/>
        </w:rPr>
        <w:t xml:space="preserve"> school social worker, s</w:t>
      </w:r>
      <w:r w:rsidR="00383317" w:rsidRPr="007D7C46">
        <w:rPr>
          <w:rFonts w:cs="Arial"/>
          <w:sz w:val="24"/>
          <w:szCs w:val="24"/>
        </w:rPr>
        <w:t>tudy counsellor</w:t>
      </w:r>
      <w:r w:rsidR="00B5761B" w:rsidRPr="007D7C46">
        <w:rPr>
          <w:rFonts w:cs="Arial"/>
          <w:sz w:val="24"/>
          <w:szCs w:val="24"/>
        </w:rPr>
        <w:t>,</w:t>
      </w:r>
      <w:r w:rsidR="00383317" w:rsidRPr="007D7C46">
        <w:rPr>
          <w:rFonts w:cs="Arial"/>
          <w:sz w:val="24"/>
          <w:szCs w:val="24"/>
        </w:rPr>
        <w:t xml:space="preserve"> school dentist, school nurse, speech therapist </w:t>
      </w:r>
      <w:r w:rsidR="00B5761B" w:rsidRPr="007D7C46">
        <w:rPr>
          <w:rFonts w:cs="Arial"/>
          <w:sz w:val="24"/>
          <w:szCs w:val="24"/>
        </w:rPr>
        <w:t>and</w:t>
      </w:r>
      <w:r w:rsidR="00383317" w:rsidRPr="007D7C46">
        <w:rPr>
          <w:rFonts w:cs="Arial"/>
          <w:sz w:val="24"/>
          <w:szCs w:val="24"/>
        </w:rPr>
        <w:t xml:space="preserve"> family counsellor. </w:t>
      </w:r>
      <w:proofErr w:type="gramStart"/>
      <w:r w:rsidR="00383317" w:rsidRPr="007D7C46">
        <w:rPr>
          <w:rFonts w:cs="Arial"/>
          <w:sz w:val="24"/>
          <w:szCs w:val="24"/>
        </w:rPr>
        <w:t>All of</w:t>
      </w:r>
      <w:proofErr w:type="gramEnd"/>
      <w:r w:rsidR="00383317" w:rsidRPr="007D7C46">
        <w:rPr>
          <w:rFonts w:cs="Arial"/>
          <w:sz w:val="24"/>
          <w:szCs w:val="24"/>
        </w:rPr>
        <w:t xml:space="preserve"> these specialists are either based in one school or, in areas where schools are smaller (over 30 percent of Finnish schools have only three or four permanent teachers), they split their time between several</w:t>
      </w:r>
      <w:r w:rsidR="00B5761B" w:rsidRPr="007D7C46">
        <w:rPr>
          <w:rFonts w:cs="Arial"/>
          <w:sz w:val="24"/>
          <w:szCs w:val="24"/>
        </w:rPr>
        <w:t xml:space="preserve"> schools.  “</w:t>
      </w:r>
      <w:r w:rsidR="00383317" w:rsidRPr="007D7C46">
        <w:rPr>
          <w:rFonts w:cs="Arial"/>
          <w:sz w:val="24"/>
          <w:szCs w:val="24"/>
        </w:rPr>
        <w:t>The multi-disciplinary group known as the child welfare team is a cornerstone of Finnish education, and it is a legal requirement to have one in every school.  In big schools, this group must meet weekly for a two-hour meeting</w:t>
      </w:r>
      <w:r w:rsidR="00B5761B" w:rsidRPr="007D7C46">
        <w:rPr>
          <w:rFonts w:cs="Arial"/>
          <w:sz w:val="24"/>
          <w:szCs w:val="24"/>
        </w:rPr>
        <w:t>.”</w:t>
      </w:r>
      <w:r w:rsidR="00383317" w:rsidRPr="007D7C46">
        <w:rPr>
          <w:rFonts w:cs="Arial"/>
          <w:sz w:val="24"/>
          <w:szCs w:val="24"/>
        </w:rPr>
        <w:t xml:space="preserve"> (</w:t>
      </w:r>
      <w:proofErr w:type="spellStart"/>
      <w:r w:rsidR="00B5761B" w:rsidRPr="007D7C46">
        <w:rPr>
          <w:rFonts w:cs="Arial"/>
          <w:sz w:val="24"/>
          <w:szCs w:val="24"/>
        </w:rPr>
        <w:t>Crehan</w:t>
      </w:r>
      <w:proofErr w:type="spellEnd"/>
      <w:r w:rsidR="00B5761B" w:rsidRPr="007D7C46">
        <w:rPr>
          <w:rFonts w:cs="Arial"/>
          <w:sz w:val="24"/>
          <w:szCs w:val="24"/>
        </w:rPr>
        <w:t>, 2016: 28)</w:t>
      </w:r>
    </w:p>
    <w:bookmarkEnd w:id="3"/>
    <w:p w14:paraId="5651E467" w14:textId="77777777" w:rsidR="005A5019" w:rsidRPr="00555751" w:rsidRDefault="005A5019" w:rsidP="005A5019">
      <w:pPr>
        <w:autoSpaceDE w:val="0"/>
        <w:autoSpaceDN w:val="0"/>
        <w:adjustRightInd w:val="0"/>
        <w:spacing w:after="0" w:line="360" w:lineRule="auto"/>
        <w:rPr>
          <w:rFonts w:eastAsiaTheme="majorEastAsia" w:cstheme="majorBidi"/>
          <w:bCs/>
          <w:sz w:val="24"/>
          <w:szCs w:val="24"/>
        </w:rPr>
      </w:pPr>
      <w:r>
        <w:rPr>
          <w:rFonts w:eastAsiaTheme="majorEastAsia" w:cstheme="majorBidi"/>
          <w:bCs/>
          <w:sz w:val="24"/>
          <w:szCs w:val="24"/>
        </w:rPr>
        <w:t xml:space="preserve">It is also interesting to note that </w:t>
      </w:r>
      <w:r w:rsidRPr="00555751">
        <w:rPr>
          <w:rFonts w:eastAsiaTheme="majorEastAsia" w:cstheme="majorBidi"/>
          <w:bCs/>
          <w:sz w:val="24"/>
          <w:szCs w:val="24"/>
        </w:rPr>
        <w:t>Irish students have lower levels of school-related anxiety than their peers in Australia, Canada, New Zealand, UK, USA.  (OECD, 2017)</w:t>
      </w:r>
    </w:p>
    <w:p w14:paraId="1EB4377C" w14:textId="77777777" w:rsidR="00B40FA7" w:rsidRPr="007D7C46" w:rsidRDefault="00B40FA7" w:rsidP="007D7C46">
      <w:pPr>
        <w:spacing w:line="360" w:lineRule="auto"/>
        <w:jc w:val="both"/>
        <w:rPr>
          <w:sz w:val="24"/>
          <w:szCs w:val="24"/>
          <w:u w:val="single"/>
        </w:rPr>
      </w:pPr>
    </w:p>
    <w:p w14:paraId="02C15163" w14:textId="77777777" w:rsidR="000F61E9" w:rsidRPr="00BF1F56" w:rsidRDefault="00BF1F56" w:rsidP="007D7C46">
      <w:pPr>
        <w:spacing w:line="360" w:lineRule="auto"/>
        <w:jc w:val="both"/>
        <w:rPr>
          <w:rFonts w:cs="Arial"/>
          <w:sz w:val="24"/>
          <w:szCs w:val="24"/>
        </w:rPr>
      </w:pPr>
      <w:bookmarkStart w:id="5" w:name="_Hlk532464494"/>
      <w:r>
        <w:rPr>
          <w:rFonts w:eastAsia="ArialMT" w:cs="Arial"/>
          <w:b/>
          <w:sz w:val="28"/>
          <w:szCs w:val="28"/>
          <w:u w:val="single"/>
        </w:rPr>
        <w:t>Inspectorate Research Report</w:t>
      </w:r>
    </w:p>
    <w:bookmarkEnd w:id="5"/>
    <w:p w14:paraId="4D5C056D" w14:textId="77777777" w:rsidR="000F61E9" w:rsidRPr="00BF1F56" w:rsidRDefault="00BF1F56" w:rsidP="007D7C46">
      <w:pPr>
        <w:spacing w:after="200" w:line="360" w:lineRule="auto"/>
        <w:jc w:val="both"/>
        <w:rPr>
          <w:rFonts w:cs="Arial"/>
          <w:sz w:val="24"/>
          <w:szCs w:val="24"/>
        </w:rPr>
      </w:pPr>
      <w:r w:rsidRPr="00BF1F56">
        <w:rPr>
          <w:rFonts w:cs="Arial"/>
          <w:sz w:val="24"/>
          <w:szCs w:val="24"/>
        </w:rPr>
        <w:t xml:space="preserve">The TUI has </w:t>
      </w:r>
      <w:proofErr w:type="gramStart"/>
      <w:r w:rsidRPr="00BF1F56">
        <w:rPr>
          <w:rFonts w:cs="Arial"/>
          <w:sz w:val="24"/>
          <w:szCs w:val="24"/>
        </w:rPr>
        <w:t>given careful consideration to</w:t>
      </w:r>
      <w:proofErr w:type="gramEnd"/>
      <w:r w:rsidRPr="00BF1F56">
        <w:rPr>
          <w:rFonts w:cs="Arial"/>
          <w:sz w:val="24"/>
          <w:szCs w:val="24"/>
        </w:rPr>
        <w:t xml:space="preserve"> the research report written by the Inspectorate on this matter.  The TUI takes </w:t>
      </w:r>
      <w:proofErr w:type="gramStart"/>
      <w:r w:rsidRPr="00BF1F56">
        <w:rPr>
          <w:rFonts w:cs="Arial"/>
          <w:sz w:val="24"/>
          <w:szCs w:val="24"/>
        </w:rPr>
        <w:t>particular note</w:t>
      </w:r>
      <w:proofErr w:type="gramEnd"/>
      <w:r w:rsidRPr="00BF1F56">
        <w:rPr>
          <w:rFonts w:cs="Arial"/>
          <w:sz w:val="24"/>
          <w:szCs w:val="24"/>
        </w:rPr>
        <w:t xml:space="preserve"> of the following:</w:t>
      </w:r>
    </w:p>
    <w:p w14:paraId="5E4904DC" w14:textId="77777777" w:rsidR="00BF1F56" w:rsidRPr="00A301A7" w:rsidRDefault="00BF1F56" w:rsidP="00A301A7">
      <w:pPr>
        <w:pStyle w:val="ListParagraph"/>
        <w:numPr>
          <w:ilvl w:val="0"/>
          <w:numId w:val="25"/>
        </w:numPr>
        <w:spacing w:after="200" w:line="360" w:lineRule="auto"/>
        <w:jc w:val="both"/>
        <w:rPr>
          <w:rFonts w:cs="Arial"/>
          <w:sz w:val="24"/>
          <w:szCs w:val="24"/>
        </w:rPr>
      </w:pPr>
      <w:r w:rsidRPr="00A301A7">
        <w:rPr>
          <w:rFonts w:cs="Arial"/>
          <w:sz w:val="24"/>
          <w:szCs w:val="24"/>
        </w:rPr>
        <w:lastRenderedPageBreak/>
        <w:t>Nine percent of the student population at post-primary are exempt from the study of Irish.</w:t>
      </w:r>
    </w:p>
    <w:p w14:paraId="324C49BC" w14:textId="20470D3C" w:rsidR="00BF1F56" w:rsidRPr="00A301A7" w:rsidRDefault="00BF1F56" w:rsidP="00A301A7">
      <w:pPr>
        <w:pStyle w:val="ListParagraph"/>
        <w:numPr>
          <w:ilvl w:val="0"/>
          <w:numId w:val="25"/>
        </w:numPr>
        <w:spacing w:after="200" w:line="360" w:lineRule="auto"/>
        <w:jc w:val="both"/>
        <w:rPr>
          <w:rFonts w:cs="Arial"/>
          <w:sz w:val="24"/>
          <w:szCs w:val="24"/>
        </w:rPr>
      </w:pPr>
      <w:r w:rsidRPr="00A301A7">
        <w:rPr>
          <w:rFonts w:cs="Arial"/>
          <w:sz w:val="24"/>
          <w:szCs w:val="24"/>
        </w:rPr>
        <w:t xml:space="preserve">Current circulars are silent on some </w:t>
      </w:r>
      <w:r w:rsidR="00BB6253">
        <w:rPr>
          <w:rFonts w:cs="Arial"/>
          <w:sz w:val="24"/>
          <w:szCs w:val="24"/>
        </w:rPr>
        <w:t>forms</w:t>
      </w:r>
      <w:r w:rsidRPr="00FC3DC2">
        <w:rPr>
          <w:rFonts w:cs="Arial"/>
          <w:color w:val="FF0000"/>
          <w:sz w:val="24"/>
          <w:szCs w:val="24"/>
        </w:rPr>
        <w:t xml:space="preserve"> </w:t>
      </w:r>
      <w:r w:rsidRPr="00A301A7">
        <w:rPr>
          <w:rFonts w:cs="Arial"/>
          <w:sz w:val="24"/>
          <w:szCs w:val="24"/>
        </w:rPr>
        <w:t>of SEN e.g. autism.</w:t>
      </w:r>
    </w:p>
    <w:p w14:paraId="33B574A9" w14:textId="322A7BDE" w:rsidR="00BF1F56" w:rsidRPr="00D81958" w:rsidRDefault="00BF1F56" w:rsidP="00D81958">
      <w:pPr>
        <w:pStyle w:val="ListParagraph"/>
        <w:numPr>
          <w:ilvl w:val="0"/>
          <w:numId w:val="25"/>
        </w:numPr>
        <w:spacing w:after="200" w:line="360" w:lineRule="auto"/>
        <w:jc w:val="both"/>
        <w:rPr>
          <w:rFonts w:cs="Arial"/>
          <w:sz w:val="24"/>
          <w:szCs w:val="24"/>
        </w:rPr>
      </w:pPr>
      <w:r w:rsidRPr="00A301A7">
        <w:rPr>
          <w:rFonts w:cs="Arial"/>
          <w:sz w:val="24"/>
          <w:szCs w:val="24"/>
        </w:rPr>
        <w:t>Twelve percent of post-primary students were not born in Ireland but 17% of the overall school population is foreign-born.  Hence the post-primary system will soon see a dramatic increase in the number of students who were not born in Ireland.</w:t>
      </w:r>
      <w:r w:rsidR="00D81958" w:rsidRPr="00D81958">
        <w:rPr>
          <w:rFonts w:cs="Arial"/>
          <w:sz w:val="24"/>
          <w:szCs w:val="24"/>
        </w:rPr>
        <w:t xml:space="preserve"> This will lead to huge pressure on allocation as an alternative subject will need to be offered due to numbers.</w:t>
      </w:r>
    </w:p>
    <w:p w14:paraId="5349362F" w14:textId="29580E3B" w:rsidR="00BF1F56" w:rsidRPr="00A301A7" w:rsidRDefault="006F72E3" w:rsidP="00A301A7">
      <w:pPr>
        <w:pStyle w:val="ListParagraph"/>
        <w:numPr>
          <w:ilvl w:val="0"/>
          <w:numId w:val="25"/>
        </w:numPr>
        <w:spacing w:after="200" w:line="360" w:lineRule="auto"/>
        <w:jc w:val="both"/>
        <w:rPr>
          <w:rFonts w:cs="Arial"/>
          <w:sz w:val="24"/>
          <w:szCs w:val="24"/>
        </w:rPr>
      </w:pPr>
      <w:r w:rsidRPr="00A301A7">
        <w:rPr>
          <w:rFonts w:cs="Arial"/>
          <w:sz w:val="24"/>
          <w:szCs w:val="24"/>
        </w:rPr>
        <w:t>Forty percent of the marks at Leaving Certificate relate to the externally assessed oral component.  The TUI is on record as being determined that this oral component must continue in its current form if the language is to be protected.</w:t>
      </w:r>
      <w:r w:rsidR="00D81958">
        <w:rPr>
          <w:rFonts w:cs="Arial"/>
          <w:sz w:val="24"/>
          <w:szCs w:val="24"/>
        </w:rPr>
        <w:t xml:space="preserve">  The revised Junior Cycle regrettably removed the oral component from the State certified results of that examination and made it only a </w:t>
      </w:r>
      <w:proofErr w:type="gramStart"/>
      <w:r w:rsidR="00D81958">
        <w:rPr>
          <w:rFonts w:cs="Arial"/>
          <w:sz w:val="24"/>
          <w:szCs w:val="24"/>
        </w:rPr>
        <w:t>classroom based</w:t>
      </w:r>
      <w:proofErr w:type="gramEnd"/>
      <w:r w:rsidR="00D81958">
        <w:rPr>
          <w:rFonts w:cs="Arial"/>
          <w:sz w:val="24"/>
          <w:szCs w:val="24"/>
        </w:rPr>
        <w:t xml:space="preserve"> assessment.</w:t>
      </w:r>
      <w:r w:rsidR="001A78B0">
        <w:rPr>
          <w:rFonts w:cs="Arial"/>
          <w:sz w:val="24"/>
          <w:szCs w:val="24"/>
        </w:rPr>
        <w:t xml:space="preserve">  </w:t>
      </w:r>
      <w:proofErr w:type="gramStart"/>
      <w:r w:rsidR="001A78B0">
        <w:rPr>
          <w:rFonts w:cs="Arial"/>
          <w:sz w:val="24"/>
          <w:szCs w:val="24"/>
        </w:rPr>
        <w:t>Unfortunately</w:t>
      </w:r>
      <w:proofErr w:type="gramEnd"/>
      <w:r w:rsidR="001A78B0">
        <w:rPr>
          <w:rFonts w:cs="Arial"/>
          <w:sz w:val="24"/>
          <w:szCs w:val="24"/>
        </w:rPr>
        <w:t xml:space="preserve"> the revised Junior Cycle also removed the Foundation Level programme which was useful in supporting students to gain some level of knowledge of the Irish language.</w:t>
      </w:r>
    </w:p>
    <w:p w14:paraId="3AB08B28" w14:textId="77777777" w:rsidR="006F72E3" w:rsidRPr="00A301A7" w:rsidRDefault="006F72E3" w:rsidP="00A301A7">
      <w:pPr>
        <w:pStyle w:val="ListParagraph"/>
        <w:numPr>
          <w:ilvl w:val="0"/>
          <w:numId w:val="25"/>
        </w:numPr>
        <w:spacing w:after="200" w:line="360" w:lineRule="auto"/>
        <w:jc w:val="both"/>
        <w:rPr>
          <w:rFonts w:cs="Arial"/>
          <w:sz w:val="24"/>
          <w:szCs w:val="24"/>
        </w:rPr>
      </w:pPr>
      <w:r w:rsidRPr="00A301A7">
        <w:rPr>
          <w:rFonts w:cs="Arial"/>
          <w:sz w:val="24"/>
          <w:szCs w:val="24"/>
        </w:rPr>
        <w:t>The authority to grant an exemption is currently delegated to the board of management of the school.</w:t>
      </w:r>
    </w:p>
    <w:p w14:paraId="7FC96BB5" w14:textId="77777777" w:rsidR="00D81958" w:rsidRPr="00D81958" w:rsidRDefault="00D013A7" w:rsidP="006A7CCA">
      <w:pPr>
        <w:pStyle w:val="ListParagraph"/>
        <w:numPr>
          <w:ilvl w:val="0"/>
          <w:numId w:val="25"/>
        </w:numPr>
        <w:spacing w:after="200" w:line="360" w:lineRule="auto"/>
        <w:jc w:val="both"/>
        <w:rPr>
          <w:rFonts w:cs="Arial"/>
          <w:sz w:val="24"/>
          <w:szCs w:val="24"/>
        </w:rPr>
      </w:pPr>
      <w:r w:rsidRPr="00D81958">
        <w:rPr>
          <w:rFonts w:cs="Arial"/>
          <w:sz w:val="24"/>
          <w:szCs w:val="24"/>
        </w:rPr>
        <w:t>The very nature of autism is that there is a spectrum from high functioning to low functioning, and a consequent variation in the ability of a student to access the curriculum.</w:t>
      </w:r>
      <w:r w:rsidR="00D81958" w:rsidRPr="00D81958">
        <w:rPr>
          <w:rFonts w:cs="Arial"/>
          <w:sz w:val="24"/>
          <w:szCs w:val="24"/>
        </w:rPr>
        <w:t xml:space="preserve"> Sometimes there is inconsistency in psychological reports.</w:t>
      </w:r>
    </w:p>
    <w:p w14:paraId="5BE99892" w14:textId="3F99867E" w:rsidR="00D013A7" w:rsidRPr="00D81958" w:rsidRDefault="009C552F" w:rsidP="006A7CCA">
      <w:pPr>
        <w:pStyle w:val="ListParagraph"/>
        <w:numPr>
          <w:ilvl w:val="0"/>
          <w:numId w:val="25"/>
        </w:numPr>
        <w:spacing w:after="200" w:line="360" w:lineRule="auto"/>
        <w:jc w:val="both"/>
        <w:rPr>
          <w:rFonts w:cs="Arial"/>
          <w:sz w:val="24"/>
          <w:szCs w:val="24"/>
        </w:rPr>
      </w:pPr>
      <w:proofErr w:type="gramStart"/>
      <w:r w:rsidRPr="00D81958">
        <w:rPr>
          <w:rFonts w:cs="Arial"/>
          <w:sz w:val="24"/>
          <w:szCs w:val="24"/>
        </w:rPr>
        <w:t>A large proportion</w:t>
      </w:r>
      <w:proofErr w:type="gramEnd"/>
      <w:r w:rsidRPr="00D81958">
        <w:rPr>
          <w:rFonts w:cs="Arial"/>
          <w:sz w:val="24"/>
          <w:szCs w:val="24"/>
        </w:rPr>
        <w:t xml:space="preserve"> of students taking both Junior Certificate and Leaving Certifica</w:t>
      </w:r>
      <w:r w:rsidR="00B1597F" w:rsidRPr="00D81958">
        <w:rPr>
          <w:rFonts w:cs="Arial"/>
          <w:sz w:val="24"/>
          <w:szCs w:val="24"/>
        </w:rPr>
        <w:t>te examinations do not sit the I</w:t>
      </w:r>
      <w:r w:rsidRPr="00D81958">
        <w:rPr>
          <w:rFonts w:cs="Arial"/>
          <w:sz w:val="24"/>
          <w:szCs w:val="24"/>
        </w:rPr>
        <w:t>rish examination but don’t actually have an exemption.</w:t>
      </w:r>
    </w:p>
    <w:p w14:paraId="2B8F107A" w14:textId="77777777" w:rsidR="009C552F" w:rsidRPr="00A301A7" w:rsidRDefault="009C552F" w:rsidP="00A301A7">
      <w:pPr>
        <w:pStyle w:val="ListParagraph"/>
        <w:numPr>
          <w:ilvl w:val="0"/>
          <w:numId w:val="25"/>
        </w:numPr>
        <w:spacing w:after="200" w:line="360" w:lineRule="auto"/>
        <w:jc w:val="both"/>
        <w:rPr>
          <w:rFonts w:cs="Arial"/>
          <w:sz w:val="24"/>
          <w:szCs w:val="24"/>
        </w:rPr>
      </w:pPr>
      <w:r w:rsidRPr="00A301A7">
        <w:rPr>
          <w:rFonts w:cs="Arial"/>
          <w:sz w:val="24"/>
          <w:szCs w:val="24"/>
        </w:rPr>
        <w:t>Parents are already exerting considerable pressure on schools to grant exemptions, even where the school does not believe that an exemption is applicable.</w:t>
      </w:r>
    </w:p>
    <w:p w14:paraId="2A77E054" w14:textId="2C009BA4" w:rsidR="009C552F" w:rsidRPr="00A301A7" w:rsidRDefault="009C552F" w:rsidP="00A301A7">
      <w:pPr>
        <w:pStyle w:val="ListParagraph"/>
        <w:numPr>
          <w:ilvl w:val="0"/>
          <w:numId w:val="25"/>
        </w:numPr>
        <w:spacing w:after="200" w:line="360" w:lineRule="auto"/>
        <w:jc w:val="both"/>
        <w:rPr>
          <w:rFonts w:cs="Arial"/>
          <w:sz w:val="24"/>
          <w:szCs w:val="24"/>
        </w:rPr>
      </w:pPr>
      <w:r w:rsidRPr="00A301A7">
        <w:rPr>
          <w:rFonts w:cs="Arial"/>
          <w:sz w:val="24"/>
          <w:szCs w:val="24"/>
        </w:rPr>
        <w:t xml:space="preserve">Many parents, especially in DEIS schools or schools with a high proportion of English as </w:t>
      </w:r>
      <w:proofErr w:type="spellStart"/>
      <w:proofErr w:type="gramStart"/>
      <w:r w:rsidRPr="00A301A7">
        <w:rPr>
          <w:rFonts w:cs="Arial"/>
          <w:sz w:val="24"/>
          <w:szCs w:val="24"/>
        </w:rPr>
        <w:t>a</w:t>
      </w:r>
      <w:proofErr w:type="spellEnd"/>
      <w:proofErr w:type="gramEnd"/>
      <w:r w:rsidRPr="00A301A7">
        <w:rPr>
          <w:rFonts w:cs="Arial"/>
          <w:sz w:val="24"/>
          <w:szCs w:val="24"/>
        </w:rPr>
        <w:t xml:space="preserve"> Additional Language students, have little interest in their children learning the </w:t>
      </w:r>
      <w:r w:rsidR="00B1597F">
        <w:rPr>
          <w:rFonts w:cs="Arial"/>
          <w:sz w:val="24"/>
          <w:szCs w:val="24"/>
        </w:rPr>
        <w:t xml:space="preserve">Irish </w:t>
      </w:r>
      <w:r w:rsidRPr="00A301A7">
        <w:rPr>
          <w:rFonts w:cs="Arial"/>
          <w:sz w:val="24"/>
          <w:szCs w:val="24"/>
        </w:rPr>
        <w:t>language.</w:t>
      </w:r>
      <w:r w:rsidR="00D81958" w:rsidRPr="00D81958">
        <w:rPr>
          <w:rFonts w:cs="Arial"/>
          <w:sz w:val="24"/>
          <w:szCs w:val="24"/>
        </w:rPr>
        <w:t xml:space="preserve"> Parents support their children in their unwillingness to do Irish which caus</w:t>
      </w:r>
      <w:r w:rsidR="00D81958">
        <w:rPr>
          <w:rFonts w:cs="Arial"/>
          <w:sz w:val="24"/>
          <w:szCs w:val="24"/>
        </w:rPr>
        <w:t>es huge issues in term 1 after t</w:t>
      </w:r>
      <w:r w:rsidR="00D81958" w:rsidRPr="00D81958">
        <w:rPr>
          <w:rFonts w:cs="Arial"/>
          <w:sz w:val="24"/>
          <w:szCs w:val="24"/>
        </w:rPr>
        <w:t>ransition</w:t>
      </w:r>
      <w:r w:rsidR="00D81958">
        <w:rPr>
          <w:rFonts w:cs="Arial"/>
          <w:sz w:val="24"/>
          <w:szCs w:val="24"/>
        </w:rPr>
        <w:t xml:space="preserve"> points.</w:t>
      </w:r>
      <w:r w:rsidR="00A46711">
        <w:rPr>
          <w:rFonts w:cs="Arial"/>
          <w:sz w:val="24"/>
          <w:szCs w:val="24"/>
        </w:rPr>
        <w:t xml:space="preserve">  Parental support to the school is essential.</w:t>
      </w:r>
    </w:p>
    <w:p w14:paraId="53E5BF58" w14:textId="4E5DEFA1" w:rsidR="006F72E3" w:rsidRPr="00D81958" w:rsidRDefault="009C552F" w:rsidP="00D81958">
      <w:pPr>
        <w:pStyle w:val="ListParagraph"/>
        <w:numPr>
          <w:ilvl w:val="0"/>
          <w:numId w:val="25"/>
        </w:numPr>
        <w:spacing w:after="200" w:line="360" w:lineRule="auto"/>
        <w:jc w:val="both"/>
        <w:rPr>
          <w:rFonts w:cs="Arial"/>
          <w:sz w:val="24"/>
          <w:szCs w:val="24"/>
        </w:rPr>
      </w:pPr>
      <w:r w:rsidRPr="00A301A7">
        <w:rPr>
          <w:rFonts w:cs="Arial"/>
          <w:sz w:val="24"/>
          <w:szCs w:val="24"/>
        </w:rPr>
        <w:t>In many cases post-primary schools do not believe that a particular child is entitled to an exe</w:t>
      </w:r>
      <w:r w:rsidR="00B1597F">
        <w:rPr>
          <w:rFonts w:cs="Arial"/>
          <w:sz w:val="24"/>
          <w:szCs w:val="24"/>
        </w:rPr>
        <w:t xml:space="preserve">mption from the study of </w:t>
      </w:r>
      <w:proofErr w:type="gramStart"/>
      <w:r w:rsidR="00B1597F">
        <w:rPr>
          <w:rFonts w:cs="Arial"/>
          <w:sz w:val="24"/>
          <w:szCs w:val="24"/>
        </w:rPr>
        <w:t xml:space="preserve">Irish, </w:t>
      </w:r>
      <w:r w:rsidRPr="00A301A7">
        <w:rPr>
          <w:rFonts w:cs="Arial"/>
          <w:sz w:val="24"/>
          <w:szCs w:val="24"/>
        </w:rPr>
        <w:t>but</w:t>
      </w:r>
      <w:proofErr w:type="gramEnd"/>
      <w:r w:rsidRPr="00A301A7">
        <w:rPr>
          <w:rFonts w:cs="Arial"/>
          <w:sz w:val="24"/>
          <w:szCs w:val="24"/>
        </w:rPr>
        <w:t xml:space="preserve"> find that the child was granted an exemption </w:t>
      </w:r>
      <w:r w:rsidRPr="00A301A7">
        <w:rPr>
          <w:rFonts w:cs="Arial"/>
          <w:sz w:val="24"/>
          <w:szCs w:val="24"/>
        </w:rPr>
        <w:lastRenderedPageBreak/>
        <w:t>in primary school.  This creates obvious difficulties in terms of perceptions of parents and the ability of the child to take up the language in post-primary.</w:t>
      </w:r>
      <w:r w:rsidR="00D81958" w:rsidRPr="00D81958">
        <w:rPr>
          <w:rFonts w:cs="Arial"/>
          <w:sz w:val="24"/>
          <w:szCs w:val="24"/>
        </w:rPr>
        <w:t xml:space="preserve"> The TUI believes that there is potentially a role for the SENO and /or NEPS to identify such issues prior to transition.</w:t>
      </w:r>
    </w:p>
    <w:p w14:paraId="2FEA8217" w14:textId="1F6B707C" w:rsidR="009C552F" w:rsidRPr="00D81958" w:rsidRDefault="009C552F" w:rsidP="00D81958">
      <w:pPr>
        <w:pStyle w:val="ListParagraph"/>
        <w:numPr>
          <w:ilvl w:val="0"/>
          <w:numId w:val="25"/>
        </w:numPr>
        <w:spacing w:after="200" w:line="360" w:lineRule="auto"/>
        <w:jc w:val="both"/>
        <w:rPr>
          <w:rFonts w:cs="Arial"/>
          <w:sz w:val="24"/>
          <w:szCs w:val="24"/>
        </w:rPr>
      </w:pPr>
      <w:r w:rsidRPr="00A301A7">
        <w:rPr>
          <w:rFonts w:cs="Arial"/>
          <w:sz w:val="24"/>
          <w:szCs w:val="24"/>
        </w:rPr>
        <w:t xml:space="preserve">Many students who have exemptions are then taken out of Irish class to attend learning support.  </w:t>
      </w:r>
      <w:r w:rsidR="00BB6253">
        <w:rPr>
          <w:rFonts w:cs="Arial"/>
          <w:sz w:val="24"/>
          <w:szCs w:val="24"/>
        </w:rPr>
        <w:t>S</w:t>
      </w:r>
      <w:r w:rsidRPr="00A301A7">
        <w:rPr>
          <w:rFonts w:cs="Arial"/>
          <w:sz w:val="24"/>
          <w:szCs w:val="24"/>
        </w:rPr>
        <w:t xml:space="preserve">ome parents put schools under pressure to provide ‘extra’ Maths or English classes for example.  This causes significant difficulties for schools, not least of which is that a perception </w:t>
      </w:r>
      <w:r w:rsidR="00886F39" w:rsidRPr="00A301A7">
        <w:rPr>
          <w:rFonts w:cs="Arial"/>
          <w:sz w:val="24"/>
          <w:szCs w:val="24"/>
        </w:rPr>
        <w:t xml:space="preserve">can be created </w:t>
      </w:r>
      <w:r w:rsidRPr="00A301A7">
        <w:rPr>
          <w:rFonts w:cs="Arial"/>
          <w:sz w:val="24"/>
          <w:szCs w:val="24"/>
        </w:rPr>
        <w:t>that ‘academic advantage’ can be besto</w:t>
      </w:r>
      <w:r w:rsidR="00886F39" w:rsidRPr="00A301A7">
        <w:rPr>
          <w:rFonts w:cs="Arial"/>
          <w:sz w:val="24"/>
          <w:szCs w:val="24"/>
        </w:rPr>
        <w:t>wed on the child exempted from I</w:t>
      </w:r>
      <w:r w:rsidRPr="00A301A7">
        <w:rPr>
          <w:rFonts w:cs="Arial"/>
          <w:sz w:val="24"/>
          <w:szCs w:val="24"/>
        </w:rPr>
        <w:t>rish.</w:t>
      </w:r>
      <w:r w:rsidR="00D81958" w:rsidRPr="00D81958">
        <w:rPr>
          <w:rFonts w:cs="Arial"/>
          <w:sz w:val="24"/>
          <w:szCs w:val="24"/>
        </w:rPr>
        <w:t xml:space="preserve"> Furthermore, smaller schools with a high concentration of SEN and large numbers of students without exemptions makes learning support unwieldy and schools have added an additional subject opposite Irish.</w:t>
      </w:r>
    </w:p>
    <w:p w14:paraId="528D6E24" w14:textId="77777777" w:rsidR="00A04358" w:rsidRPr="00A301A7" w:rsidRDefault="00A04358" w:rsidP="00A301A7">
      <w:pPr>
        <w:pStyle w:val="ListParagraph"/>
        <w:numPr>
          <w:ilvl w:val="0"/>
          <w:numId w:val="25"/>
        </w:numPr>
        <w:spacing w:after="200" w:line="360" w:lineRule="auto"/>
        <w:jc w:val="both"/>
        <w:rPr>
          <w:rFonts w:cs="Arial"/>
          <w:sz w:val="24"/>
          <w:szCs w:val="24"/>
        </w:rPr>
      </w:pPr>
      <w:r w:rsidRPr="00A301A7">
        <w:rPr>
          <w:rFonts w:cs="Arial"/>
          <w:sz w:val="24"/>
          <w:szCs w:val="24"/>
        </w:rPr>
        <w:t>Up to half of existing exemptions have not been in accordance with existing guidelines.</w:t>
      </w:r>
    </w:p>
    <w:p w14:paraId="16C7475A" w14:textId="77777777" w:rsidR="00A04358" w:rsidRPr="00A301A7" w:rsidRDefault="00A04358" w:rsidP="00A301A7">
      <w:pPr>
        <w:pStyle w:val="ListParagraph"/>
        <w:numPr>
          <w:ilvl w:val="0"/>
          <w:numId w:val="25"/>
        </w:numPr>
        <w:spacing w:after="200" w:line="360" w:lineRule="auto"/>
        <w:jc w:val="both"/>
        <w:rPr>
          <w:rFonts w:cs="Arial"/>
          <w:sz w:val="24"/>
          <w:szCs w:val="24"/>
        </w:rPr>
      </w:pPr>
      <w:r w:rsidRPr="00A301A7">
        <w:rPr>
          <w:rFonts w:cs="Arial"/>
          <w:sz w:val="24"/>
          <w:szCs w:val="24"/>
        </w:rPr>
        <w:t>Appeals are currently processed by the DES.  There are usually less than 100 appeals in post-primary each year so the workload for the DES is not significant.</w:t>
      </w:r>
    </w:p>
    <w:p w14:paraId="76090D3A" w14:textId="77777777" w:rsidR="00886F39" w:rsidRPr="00A301A7" w:rsidRDefault="000E0247" w:rsidP="00A301A7">
      <w:pPr>
        <w:pStyle w:val="ListParagraph"/>
        <w:numPr>
          <w:ilvl w:val="0"/>
          <w:numId w:val="25"/>
        </w:numPr>
        <w:spacing w:after="200" w:line="360" w:lineRule="auto"/>
        <w:jc w:val="both"/>
        <w:rPr>
          <w:rFonts w:cs="Arial"/>
          <w:sz w:val="24"/>
          <w:szCs w:val="24"/>
        </w:rPr>
      </w:pPr>
      <w:r w:rsidRPr="00A301A7">
        <w:rPr>
          <w:rFonts w:cs="Arial"/>
          <w:sz w:val="24"/>
          <w:szCs w:val="24"/>
        </w:rPr>
        <w:t>Psychologists reported parents viewing an exemption as an entitlement and t</w:t>
      </w:r>
      <w:r w:rsidR="00A301A7">
        <w:rPr>
          <w:rFonts w:cs="Arial"/>
          <w:sz w:val="24"/>
          <w:szCs w:val="24"/>
        </w:rPr>
        <w:t>hat exemptions conferred an adv</w:t>
      </w:r>
      <w:r w:rsidRPr="00A301A7">
        <w:rPr>
          <w:rFonts w:cs="Arial"/>
          <w:sz w:val="24"/>
          <w:szCs w:val="24"/>
        </w:rPr>
        <w:t>antage on children.</w:t>
      </w:r>
    </w:p>
    <w:p w14:paraId="544D597D" w14:textId="77777777" w:rsidR="000E0247" w:rsidRPr="00A301A7" w:rsidRDefault="000E0247" w:rsidP="00A301A7">
      <w:pPr>
        <w:pStyle w:val="ListParagraph"/>
        <w:numPr>
          <w:ilvl w:val="0"/>
          <w:numId w:val="25"/>
        </w:numPr>
        <w:spacing w:after="200" w:line="360" w:lineRule="auto"/>
        <w:jc w:val="both"/>
        <w:rPr>
          <w:rFonts w:cs="Arial"/>
          <w:sz w:val="24"/>
          <w:szCs w:val="24"/>
        </w:rPr>
      </w:pPr>
      <w:r w:rsidRPr="00A301A7">
        <w:rPr>
          <w:rFonts w:cs="Arial"/>
          <w:sz w:val="24"/>
          <w:szCs w:val="24"/>
        </w:rPr>
        <w:t xml:space="preserve">Psychologists reported being put under pressure to conduct/provide assessments for the sole purpose of applying for exemptions.  This may be </w:t>
      </w:r>
      <w:proofErr w:type="gramStart"/>
      <w:r w:rsidRPr="00A301A7">
        <w:rPr>
          <w:rFonts w:cs="Arial"/>
          <w:sz w:val="24"/>
          <w:szCs w:val="24"/>
        </w:rPr>
        <w:t>wasteful</w:t>
      </w:r>
      <w:proofErr w:type="gramEnd"/>
      <w:r w:rsidRPr="00A301A7">
        <w:rPr>
          <w:rFonts w:cs="Arial"/>
          <w:sz w:val="24"/>
          <w:szCs w:val="24"/>
        </w:rPr>
        <w:t xml:space="preserve"> but it is not appropriate to put this pressure on schools.</w:t>
      </w:r>
    </w:p>
    <w:p w14:paraId="366EEE25" w14:textId="77777777" w:rsidR="00A301A7" w:rsidRDefault="00A301A7" w:rsidP="00BF1F56">
      <w:pPr>
        <w:spacing w:line="360" w:lineRule="auto"/>
        <w:jc w:val="both"/>
        <w:rPr>
          <w:rFonts w:eastAsia="ArialMT" w:cs="Arial"/>
          <w:b/>
          <w:sz w:val="28"/>
          <w:szCs w:val="28"/>
          <w:u w:val="single"/>
        </w:rPr>
      </w:pPr>
    </w:p>
    <w:p w14:paraId="58B2E432" w14:textId="77777777" w:rsidR="00BF1F56" w:rsidRPr="00B80181" w:rsidRDefault="00BF1F56" w:rsidP="00BF1F56">
      <w:pPr>
        <w:spacing w:line="360" w:lineRule="auto"/>
        <w:jc w:val="both"/>
        <w:rPr>
          <w:rFonts w:eastAsia="ArialMT" w:cs="Arial"/>
          <w:b/>
          <w:sz w:val="28"/>
          <w:szCs w:val="28"/>
          <w:u w:val="single"/>
        </w:rPr>
      </w:pPr>
      <w:r>
        <w:rPr>
          <w:rFonts w:eastAsia="ArialMT" w:cs="Arial"/>
          <w:b/>
          <w:sz w:val="28"/>
          <w:szCs w:val="28"/>
          <w:u w:val="single"/>
        </w:rPr>
        <w:t>Changed society</w:t>
      </w:r>
    </w:p>
    <w:p w14:paraId="61E93B70" w14:textId="158F0DC8" w:rsidR="00BF1F56" w:rsidRPr="007D7C46" w:rsidRDefault="00BF1F56" w:rsidP="007D7C46">
      <w:pPr>
        <w:spacing w:after="200" w:line="360" w:lineRule="auto"/>
        <w:jc w:val="both"/>
        <w:rPr>
          <w:sz w:val="24"/>
          <w:szCs w:val="24"/>
        </w:rPr>
      </w:pPr>
      <w:r>
        <w:rPr>
          <w:sz w:val="24"/>
          <w:szCs w:val="24"/>
        </w:rPr>
        <w:t>It is important to note that Irish society has changed dramatically since the cur</w:t>
      </w:r>
      <w:r w:rsidR="00B1597F">
        <w:rPr>
          <w:sz w:val="24"/>
          <w:szCs w:val="24"/>
        </w:rPr>
        <w:t>rent circulars on exemptions fro</w:t>
      </w:r>
      <w:r>
        <w:rPr>
          <w:sz w:val="24"/>
          <w:szCs w:val="24"/>
        </w:rPr>
        <w:t xml:space="preserve">m the study of Irish were published.  There is a much better understanding of SEN now.  Furthermore, many more students with SEN are now participating fully in mainstream schooling.  </w:t>
      </w:r>
      <w:r w:rsidR="00D463B4">
        <w:rPr>
          <w:sz w:val="24"/>
          <w:szCs w:val="24"/>
        </w:rPr>
        <w:t xml:space="preserve">It is interesting to note that Wright (2015:42) noted that students with some forms of SEN do not “do not have more severe foreign language learning problems than their peers solely because of their learning disabilities”.  </w:t>
      </w:r>
      <w:r w:rsidR="00F67C98">
        <w:rPr>
          <w:sz w:val="24"/>
          <w:szCs w:val="24"/>
        </w:rPr>
        <w:t xml:space="preserve">Sparks (2009) questions the validity of a diagnosis of ‘foreign language learning disability’.  </w:t>
      </w:r>
      <w:r w:rsidR="009A2D93">
        <w:rPr>
          <w:sz w:val="24"/>
          <w:szCs w:val="24"/>
        </w:rPr>
        <w:t xml:space="preserve">Sparks (2016: 255) states that “empirical evidence has shown that students classified as learning disabled do not regularly </w:t>
      </w:r>
      <w:r w:rsidR="009A2D93">
        <w:rPr>
          <w:sz w:val="24"/>
          <w:szCs w:val="24"/>
        </w:rPr>
        <w:lastRenderedPageBreak/>
        <w:t xml:space="preserve">fail foreign language courses and that, in fact, most secondary and postsecondary students classified as learning disabled pass foreign language courses.”  </w:t>
      </w:r>
      <w:r>
        <w:rPr>
          <w:sz w:val="24"/>
          <w:szCs w:val="24"/>
        </w:rPr>
        <w:t xml:space="preserve">The composition of Irish society has also changed.  For example, a high proportion of the population have migrated into the country, but also have migrated out of the country for </w:t>
      </w:r>
      <w:proofErr w:type="gramStart"/>
      <w:r>
        <w:rPr>
          <w:sz w:val="24"/>
          <w:szCs w:val="24"/>
        </w:rPr>
        <w:t>a period of time</w:t>
      </w:r>
      <w:proofErr w:type="gramEnd"/>
      <w:r>
        <w:rPr>
          <w:sz w:val="24"/>
          <w:szCs w:val="24"/>
        </w:rPr>
        <w:t xml:space="preserve"> before returning.  When returning to Ireland they often have young children who received much of their schooling in another country.</w:t>
      </w:r>
    </w:p>
    <w:p w14:paraId="4B9A1965" w14:textId="77777777" w:rsidR="00886F39" w:rsidRDefault="00886F39" w:rsidP="007D7C46">
      <w:pPr>
        <w:spacing w:line="360" w:lineRule="auto"/>
        <w:jc w:val="both"/>
        <w:rPr>
          <w:rFonts w:eastAsia="ArialMT" w:cs="Arial"/>
          <w:b/>
          <w:sz w:val="28"/>
          <w:szCs w:val="28"/>
          <w:u w:val="single"/>
        </w:rPr>
      </w:pPr>
    </w:p>
    <w:p w14:paraId="71CD0C22" w14:textId="77777777" w:rsidR="00886F39" w:rsidRDefault="00886F39" w:rsidP="007D7C46">
      <w:pPr>
        <w:spacing w:line="360" w:lineRule="auto"/>
        <w:jc w:val="both"/>
        <w:rPr>
          <w:rFonts w:eastAsia="ArialMT" w:cs="Arial"/>
          <w:b/>
          <w:sz w:val="28"/>
          <w:szCs w:val="28"/>
          <w:u w:val="single"/>
        </w:rPr>
      </w:pPr>
      <w:r>
        <w:rPr>
          <w:rFonts w:eastAsia="ArialMT" w:cs="Arial"/>
          <w:b/>
          <w:sz w:val="28"/>
          <w:szCs w:val="28"/>
          <w:u w:val="single"/>
        </w:rPr>
        <w:t>Proposed Circular</w:t>
      </w:r>
    </w:p>
    <w:p w14:paraId="62576963" w14:textId="77777777" w:rsidR="00886F39" w:rsidRPr="00886F39" w:rsidRDefault="00886F39" w:rsidP="007D7C46">
      <w:pPr>
        <w:spacing w:line="360" w:lineRule="auto"/>
        <w:jc w:val="both"/>
        <w:rPr>
          <w:sz w:val="24"/>
          <w:szCs w:val="24"/>
        </w:rPr>
      </w:pPr>
      <w:r w:rsidRPr="00886F39">
        <w:rPr>
          <w:sz w:val="24"/>
          <w:szCs w:val="24"/>
        </w:rPr>
        <w:t>The TUI would like to put on record that it is not satisfactory for the DES to move additional work on to schools.  Schools are already under significant pressure</w:t>
      </w:r>
      <w:r>
        <w:rPr>
          <w:sz w:val="24"/>
          <w:szCs w:val="24"/>
        </w:rPr>
        <w:t xml:space="preserve"> from </w:t>
      </w:r>
      <w:proofErr w:type="spellStart"/>
      <w:r>
        <w:rPr>
          <w:sz w:val="24"/>
          <w:szCs w:val="24"/>
        </w:rPr>
        <w:t>initiativitis</w:t>
      </w:r>
      <w:proofErr w:type="spellEnd"/>
      <w:r>
        <w:rPr>
          <w:sz w:val="24"/>
          <w:szCs w:val="24"/>
        </w:rPr>
        <w:t xml:space="preserve"> (Fullan, 2008</w:t>
      </w:r>
      <w:r w:rsidRPr="00886F39">
        <w:rPr>
          <w:sz w:val="24"/>
          <w:szCs w:val="24"/>
        </w:rPr>
        <w:t>).  This wa</w:t>
      </w:r>
      <w:r>
        <w:rPr>
          <w:sz w:val="24"/>
          <w:szCs w:val="24"/>
        </w:rPr>
        <w:t xml:space="preserve">s acknowledged recently by the </w:t>
      </w:r>
      <w:r w:rsidRPr="00886F39">
        <w:rPr>
          <w:sz w:val="24"/>
          <w:szCs w:val="24"/>
        </w:rPr>
        <w:t>Min</w:t>
      </w:r>
      <w:r>
        <w:rPr>
          <w:sz w:val="24"/>
          <w:szCs w:val="24"/>
        </w:rPr>
        <w:t>i</w:t>
      </w:r>
      <w:r w:rsidRPr="00886F39">
        <w:rPr>
          <w:sz w:val="24"/>
          <w:szCs w:val="24"/>
        </w:rPr>
        <w:t>ster for Education and Skills in</w:t>
      </w:r>
      <w:r>
        <w:rPr>
          <w:sz w:val="24"/>
          <w:szCs w:val="24"/>
        </w:rPr>
        <w:t xml:space="preserve"> </w:t>
      </w:r>
      <w:r w:rsidRPr="00886F39">
        <w:rPr>
          <w:sz w:val="24"/>
          <w:szCs w:val="24"/>
        </w:rPr>
        <w:t>his address to th</w:t>
      </w:r>
      <w:r>
        <w:rPr>
          <w:sz w:val="24"/>
          <w:szCs w:val="24"/>
        </w:rPr>
        <w:t>e National Association of Principals and Deput</w:t>
      </w:r>
      <w:r w:rsidRPr="00886F39">
        <w:rPr>
          <w:sz w:val="24"/>
          <w:szCs w:val="24"/>
        </w:rPr>
        <w:t xml:space="preserve">y Principals on </w:t>
      </w:r>
      <w:r>
        <w:rPr>
          <w:sz w:val="24"/>
          <w:szCs w:val="24"/>
        </w:rPr>
        <w:t>October 19</w:t>
      </w:r>
      <w:r w:rsidRPr="00886F39">
        <w:rPr>
          <w:sz w:val="24"/>
          <w:szCs w:val="24"/>
          <w:vertAlign w:val="superscript"/>
        </w:rPr>
        <w:t>th</w:t>
      </w:r>
      <w:proofErr w:type="gramStart"/>
      <w:r>
        <w:rPr>
          <w:sz w:val="24"/>
          <w:szCs w:val="24"/>
        </w:rPr>
        <w:t xml:space="preserve"> 2018</w:t>
      </w:r>
      <w:proofErr w:type="gramEnd"/>
      <w:r w:rsidRPr="00886F39">
        <w:rPr>
          <w:sz w:val="24"/>
          <w:szCs w:val="24"/>
        </w:rPr>
        <w:t>, and agai</w:t>
      </w:r>
      <w:r>
        <w:rPr>
          <w:sz w:val="24"/>
          <w:szCs w:val="24"/>
        </w:rPr>
        <w:t>n in his address to the Principals and Deputy P</w:t>
      </w:r>
      <w:r w:rsidRPr="00886F39">
        <w:rPr>
          <w:sz w:val="24"/>
          <w:szCs w:val="24"/>
        </w:rPr>
        <w:t xml:space="preserve">rincipals </w:t>
      </w:r>
      <w:r>
        <w:rPr>
          <w:sz w:val="24"/>
          <w:szCs w:val="24"/>
        </w:rPr>
        <w:t>A</w:t>
      </w:r>
      <w:r w:rsidRPr="00886F39">
        <w:rPr>
          <w:sz w:val="24"/>
          <w:szCs w:val="24"/>
        </w:rPr>
        <w:t xml:space="preserve">ssociation of the TUI on </w:t>
      </w:r>
      <w:r>
        <w:rPr>
          <w:sz w:val="24"/>
          <w:szCs w:val="24"/>
        </w:rPr>
        <w:t>November 16</w:t>
      </w:r>
      <w:r w:rsidRPr="00886F39">
        <w:rPr>
          <w:sz w:val="24"/>
          <w:szCs w:val="24"/>
          <w:vertAlign w:val="superscript"/>
        </w:rPr>
        <w:t>th</w:t>
      </w:r>
      <w:r>
        <w:rPr>
          <w:sz w:val="24"/>
          <w:szCs w:val="24"/>
        </w:rPr>
        <w:t xml:space="preserve"> 2018</w:t>
      </w:r>
      <w:r w:rsidRPr="00886F39">
        <w:rPr>
          <w:sz w:val="24"/>
          <w:szCs w:val="24"/>
        </w:rPr>
        <w:t>.</w:t>
      </w:r>
    </w:p>
    <w:p w14:paraId="4E72F0AD" w14:textId="77777777" w:rsidR="00886F39" w:rsidRPr="00886F39" w:rsidRDefault="00886F39" w:rsidP="007D7C46">
      <w:pPr>
        <w:spacing w:line="360" w:lineRule="auto"/>
        <w:jc w:val="both"/>
        <w:rPr>
          <w:sz w:val="24"/>
          <w:szCs w:val="24"/>
        </w:rPr>
      </w:pPr>
    </w:p>
    <w:p w14:paraId="2A880466" w14:textId="77777777" w:rsidR="00886F39" w:rsidRPr="00886F39" w:rsidRDefault="00886F39" w:rsidP="007D7C46">
      <w:pPr>
        <w:spacing w:line="360" w:lineRule="auto"/>
        <w:jc w:val="both"/>
        <w:rPr>
          <w:sz w:val="24"/>
          <w:szCs w:val="24"/>
        </w:rPr>
      </w:pPr>
      <w:r>
        <w:rPr>
          <w:sz w:val="24"/>
          <w:szCs w:val="24"/>
        </w:rPr>
        <w:t>The TUI</w:t>
      </w:r>
      <w:r w:rsidRPr="00886F39">
        <w:rPr>
          <w:sz w:val="24"/>
          <w:szCs w:val="24"/>
        </w:rPr>
        <w:t xml:space="preserve"> has a workload agreement with the DES and it is not acceptable for the DES to do anything to breach the terms of the agreement.  If new work is to be foisted on hard pressed </w:t>
      </w:r>
      <w:proofErr w:type="gramStart"/>
      <w:r w:rsidRPr="00886F39">
        <w:rPr>
          <w:sz w:val="24"/>
          <w:szCs w:val="24"/>
        </w:rPr>
        <w:t>schools</w:t>
      </w:r>
      <w:proofErr w:type="gramEnd"/>
      <w:r w:rsidRPr="00886F39">
        <w:rPr>
          <w:sz w:val="24"/>
          <w:szCs w:val="24"/>
        </w:rPr>
        <w:t xml:space="preserve"> then some existing work must be removed.</w:t>
      </w:r>
    </w:p>
    <w:p w14:paraId="3F1D97F1" w14:textId="77777777" w:rsidR="00886F39" w:rsidRPr="00886F39" w:rsidRDefault="00886F39" w:rsidP="007D7C46">
      <w:pPr>
        <w:spacing w:line="360" w:lineRule="auto"/>
        <w:jc w:val="both"/>
        <w:rPr>
          <w:sz w:val="24"/>
          <w:szCs w:val="24"/>
        </w:rPr>
      </w:pPr>
    </w:p>
    <w:p w14:paraId="6D5ADF0D" w14:textId="77777777" w:rsidR="008555E9" w:rsidRPr="00B80181" w:rsidRDefault="00886F39" w:rsidP="007D7C46">
      <w:pPr>
        <w:spacing w:line="360" w:lineRule="auto"/>
        <w:jc w:val="both"/>
        <w:rPr>
          <w:rFonts w:eastAsia="ArialMT" w:cs="Arial"/>
          <w:b/>
          <w:sz w:val="28"/>
          <w:szCs w:val="28"/>
          <w:u w:val="single"/>
        </w:rPr>
      </w:pPr>
      <w:r>
        <w:rPr>
          <w:rFonts w:eastAsia="ArialMT" w:cs="Arial"/>
          <w:b/>
          <w:sz w:val="28"/>
          <w:szCs w:val="28"/>
          <w:u w:val="single"/>
        </w:rPr>
        <w:t>Possible Solutions</w:t>
      </w:r>
    </w:p>
    <w:p w14:paraId="522BE225" w14:textId="77777777" w:rsidR="005174F7" w:rsidRPr="00A301A7" w:rsidRDefault="00886F39" w:rsidP="00A301A7">
      <w:pPr>
        <w:pStyle w:val="ListParagraph"/>
        <w:numPr>
          <w:ilvl w:val="0"/>
          <w:numId w:val="26"/>
        </w:numPr>
        <w:spacing w:line="360" w:lineRule="auto"/>
        <w:jc w:val="both"/>
        <w:rPr>
          <w:sz w:val="24"/>
          <w:szCs w:val="24"/>
        </w:rPr>
      </w:pPr>
      <w:r w:rsidRPr="00A301A7">
        <w:rPr>
          <w:sz w:val="24"/>
          <w:szCs w:val="24"/>
        </w:rPr>
        <w:t xml:space="preserve">There continues to be a need for educational psychologists to carry out assessment </w:t>
      </w:r>
      <w:proofErr w:type="gramStart"/>
      <w:r w:rsidRPr="00A301A7">
        <w:rPr>
          <w:sz w:val="24"/>
          <w:szCs w:val="24"/>
        </w:rPr>
        <w:t>in order to</w:t>
      </w:r>
      <w:proofErr w:type="gramEnd"/>
      <w:r w:rsidRPr="00A301A7">
        <w:rPr>
          <w:sz w:val="24"/>
          <w:szCs w:val="24"/>
        </w:rPr>
        <w:t xml:space="preserve"> support schools to provide the best education possible to children with SEN.  </w:t>
      </w:r>
    </w:p>
    <w:p w14:paraId="788F78FC" w14:textId="77777777" w:rsidR="00886F39" w:rsidRPr="00A301A7" w:rsidRDefault="00886F39" w:rsidP="00A301A7">
      <w:pPr>
        <w:pStyle w:val="ListParagraph"/>
        <w:numPr>
          <w:ilvl w:val="0"/>
          <w:numId w:val="26"/>
        </w:numPr>
        <w:spacing w:line="360" w:lineRule="auto"/>
        <w:jc w:val="both"/>
        <w:rPr>
          <w:sz w:val="24"/>
          <w:szCs w:val="24"/>
        </w:rPr>
      </w:pPr>
      <w:r w:rsidRPr="00A301A7">
        <w:rPr>
          <w:sz w:val="24"/>
          <w:szCs w:val="24"/>
        </w:rPr>
        <w:t xml:space="preserve">NEPS needs to be provided with significantly more resources </w:t>
      </w:r>
      <w:proofErr w:type="gramStart"/>
      <w:r w:rsidRPr="00A301A7">
        <w:rPr>
          <w:sz w:val="24"/>
          <w:szCs w:val="24"/>
        </w:rPr>
        <w:t>in order to</w:t>
      </w:r>
      <w:proofErr w:type="gramEnd"/>
      <w:r w:rsidRPr="00A301A7">
        <w:rPr>
          <w:sz w:val="24"/>
          <w:szCs w:val="24"/>
        </w:rPr>
        <w:t xml:space="preserve"> provide this support to schools.</w:t>
      </w:r>
    </w:p>
    <w:p w14:paraId="332149B1" w14:textId="77777777" w:rsidR="00886F39" w:rsidRPr="00A301A7" w:rsidRDefault="00886F39" w:rsidP="00A301A7">
      <w:pPr>
        <w:pStyle w:val="ListParagraph"/>
        <w:numPr>
          <w:ilvl w:val="0"/>
          <w:numId w:val="26"/>
        </w:numPr>
        <w:spacing w:line="360" w:lineRule="auto"/>
        <w:jc w:val="both"/>
        <w:rPr>
          <w:sz w:val="24"/>
          <w:szCs w:val="24"/>
        </w:rPr>
      </w:pPr>
      <w:r w:rsidRPr="00A301A7">
        <w:rPr>
          <w:sz w:val="24"/>
          <w:szCs w:val="24"/>
        </w:rPr>
        <w:t>Clear guidance n</w:t>
      </w:r>
      <w:r w:rsidR="00BA0886" w:rsidRPr="00A301A7">
        <w:rPr>
          <w:sz w:val="24"/>
          <w:szCs w:val="24"/>
        </w:rPr>
        <w:t>eeds to be set down for psycholo</w:t>
      </w:r>
      <w:r w:rsidRPr="00A301A7">
        <w:rPr>
          <w:sz w:val="24"/>
          <w:szCs w:val="24"/>
        </w:rPr>
        <w:t xml:space="preserve">gists in private practice </w:t>
      </w:r>
      <w:r w:rsidR="00BE3EA4" w:rsidRPr="00A301A7">
        <w:rPr>
          <w:sz w:val="24"/>
          <w:szCs w:val="24"/>
        </w:rPr>
        <w:t>as to when an exemption is warranted.</w:t>
      </w:r>
    </w:p>
    <w:p w14:paraId="1F14E5BE" w14:textId="2F8C6533" w:rsidR="00BE3EA4" w:rsidRPr="00A301A7" w:rsidRDefault="00BE3EA4" w:rsidP="00A301A7">
      <w:pPr>
        <w:pStyle w:val="ListParagraph"/>
        <w:numPr>
          <w:ilvl w:val="0"/>
          <w:numId w:val="26"/>
        </w:numPr>
        <w:spacing w:line="360" w:lineRule="auto"/>
        <w:jc w:val="both"/>
        <w:rPr>
          <w:sz w:val="24"/>
          <w:szCs w:val="24"/>
        </w:rPr>
      </w:pPr>
      <w:r w:rsidRPr="00A301A7">
        <w:rPr>
          <w:sz w:val="24"/>
          <w:szCs w:val="24"/>
        </w:rPr>
        <w:t>Clear guidelines should be issued to schools and parent’s groups outlining when an exemption is warranted.</w:t>
      </w:r>
      <w:r w:rsidR="00D81958" w:rsidRPr="00D81958">
        <w:rPr>
          <w:sz w:val="24"/>
          <w:szCs w:val="24"/>
        </w:rPr>
        <w:t xml:space="preserve"> This process must start in primary school.</w:t>
      </w:r>
    </w:p>
    <w:p w14:paraId="2BB2F0F3" w14:textId="1BFA2DC0" w:rsidR="00D81958" w:rsidRPr="00D81958" w:rsidRDefault="00D81958" w:rsidP="00D81958">
      <w:pPr>
        <w:pStyle w:val="ListParagraph"/>
        <w:numPr>
          <w:ilvl w:val="0"/>
          <w:numId w:val="26"/>
        </w:numPr>
        <w:spacing w:line="360" w:lineRule="auto"/>
        <w:jc w:val="both"/>
        <w:rPr>
          <w:sz w:val="24"/>
          <w:szCs w:val="24"/>
        </w:rPr>
      </w:pPr>
      <w:r w:rsidRPr="00A301A7">
        <w:rPr>
          <w:sz w:val="24"/>
          <w:szCs w:val="24"/>
        </w:rPr>
        <w:lastRenderedPageBreak/>
        <w:t>Guidelines for primary and post-primary schools should be identical</w:t>
      </w:r>
      <w:r w:rsidRPr="00D81958">
        <w:rPr>
          <w:sz w:val="24"/>
          <w:szCs w:val="24"/>
        </w:rPr>
        <w:t>. A section on transition must be included</w:t>
      </w:r>
      <w:r>
        <w:rPr>
          <w:sz w:val="24"/>
          <w:szCs w:val="24"/>
        </w:rPr>
        <w:t xml:space="preserve"> in those guidelines</w:t>
      </w:r>
      <w:r w:rsidRPr="00D81958">
        <w:rPr>
          <w:sz w:val="24"/>
          <w:szCs w:val="24"/>
        </w:rPr>
        <w:t>.</w:t>
      </w:r>
    </w:p>
    <w:p w14:paraId="46775944" w14:textId="77777777" w:rsidR="00A04358" w:rsidRPr="00A301A7" w:rsidRDefault="00A04358" w:rsidP="00A301A7">
      <w:pPr>
        <w:pStyle w:val="ListParagraph"/>
        <w:numPr>
          <w:ilvl w:val="0"/>
          <w:numId w:val="26"/>
        </w:numPr>
        <w:spacing w:line="360" w:lineRule="auto"/>
        <w:jc w:val="both"/>
        <w:rPr>
          <w:sz w:val="24"/>
          <w:szCs w:val="24"/>
        </w:rPr>
      </w:pPr>
      <w:r w:rsidRPr="00A301A7">
        <w:rPr>
          <w:sz w:val="24"/>
          <w:szCs w:val="24"/>
        </w:rPr>
        <w:t>The DES should have a greater, not lesser, role in the granting of exemptions.</w:t>
      </w:r>
    </w:p>
    <w:p w14:paraId="6BA856FF" w14:textId="77777777" w:rsidR="00A04358" w:rsidRPr="00A301A7" w:rsidRDefault="00A04358" w:rsidP="00A301A7">
      <w:pPr>
        <w:pStyle w:val="ListParagraph"/>
        <w:numPr>
          <w:ilvl w:val="0"/>
          <w:numId w:val="26"/>
        </w:numPr>
        <w:spacing w:line="360" w:lineRule="auto"/>
        <w:jc w:val="both"/>
        <w:rPr>
          <w:sz w:val="24"/>
          <w:szCs w:val="24"/>
        </w:rPr>
      </w:pPr>
      <w:r w:rsidRPr="00A301A7">
        <w:rPr>
          <w:sz w:val="24"/>
          <w:szCs w:val="24"/>
        </w:rPr>
        <w:t>Third level exemption processes should be in line with school exemption processes.</w:t>
      </w:r>
    </w:p>
    <w:p w14:paraId="341E77EA" w14:textId="77777777" w:rsidR="000E0247" w:rsidRPr="00A301A7" w:rsidRDefault="000E0247" w:rsidP="00A301A7">
      <w:pPr>
        <w:pStyle w:val="ListParagraph"/>
        <w:numPr>
          <w:ilvl w:val="0"/>
          <w:numId w:val="26"/>
        </w:numPr>
        <w:spacing w:line="360" w:lineRule="auto"/>
        <w:jc w:val="both"/>
        <w:rPr>
          <w:sz w:val="24"/>
          <w:szCs w:val="24"/>
        </w:rPr>
      </w:pPr>
      <w:r w:rsidRPr="00A301A7">
        <w:rPr>
          <w:sz w:val="24"/>
          <w:szCs w:val="24"/>
        </w:rPr>
        <w:t>Fee-paying schools, both primary and post-primary, should be encompassed by the circular.</w:t>
      </w:r>
    </w:p>
    <w:p w14:paraId="0FEB087A" w14:textId="77777777" w:rsidR="000E0247" w:rsidRPr="00A301A7" w:rsidRDefault="000E0247" w:rsidP="00A301A7">
      <w:pPr>
        <w:pStyle w:val="ListParagraph"/>
        <w:numPr>
          <w:ilvl w:val="0"/>
          <w:numId w:val="26"/>
        </w:numPr>
        <w:spacing w:line="360" w:lineRule="auto"/>
        <w:jc w:val="both"/>
        <w:rPr>
          <w:sz w:val="24"/>
          <w:szCs w:val="24"/>
        </w:rPr>
      </w:pPr>
      <w:r w:rsidRPr="00A301A7">
        <w:rPr>
          <w:sz w:val="24"/>
          <w:szCs w:val="24"/>
        </w:rPr>
        <w:t>Autism/mutism/verbal dyspraxia etc should be encompassed in the circular.  Children with such difficulties should have an entitlement to a NEPS assessment, thereby determining whether their level of need would require the granting of an exemption from the study of Irish.</w:t>
      </w:r>
    </w:p>
    <w:p w14:paraId="46B0FA33" w14:textId="77777777" w:rsidR="00F855DE" w:rsidRPr="00A301A7" w:rsidRDefault="00F855DE" w:rsidP="00A301A7">
      <w:pPr>
        <w:pStyle w:val="ListParagraph"/>
        <w:numPr>
          <w:ilvl w:val="0"/>
          <w:numId w:val="26"/>
        </w:numPr>
        <w:spacing w:line="360" w:lineRule="auto"/>
        <w:jc w:val="both"/>
        <w:rPr>
          <w:sz w:val="24"/>
          <w:szCs w:val="24"/>
        </w:rPr>
      </w:pPr>
      <w:r w:rsidRPr="00A301A7">
        <w:rPr>
          <w:sz w:val="24"/>
          <w:szCs w:val="24"/>
        </w:rPr>
        <w:t>There is justification in moving from an age of 11 to an</w:t>
      </w:r>
      <w:r w:rsidR="00B1597F">
        <w:rPr>
          <w:sz w:val="24"/>
          <w:szCs w:val="24"/>
        </w:rPr>
        <w:t xml:space="preserve"> age of 12 in terms of students</w:t>
      </w:r>
      <w:r w:rsidRPr="00A301A7">
        <w:rPr>
          <w:sz w:val="24"/>
          <w:szCs w:val="24"/>
        </w:rPr>
        <w:t xml:space="preserve"> who were educated primarily or entirely abroad prior to then.  This may usefully be processed at school </w:t>
      </w:r>
      <w:proofErr w:type="gramStart"/>
      <w:r w:rsidRPr="00A301A7">
        <w:rPr>
          <w:sz w:val="24"/>
          <w:szCs w:val="24"/>
        </w:rPr>
        <w:t>level</w:t>
      </w:r>
      <w:proofErr w:type="gramEnd"/>
      <w:r w:rsidRPr="00A301A7">
        <w:rPr>
          <w:sz w:val="24"/>
          <w:szCs w:val="24"/>
        </w:rPr>
        <w:t xml:space="preserve"> but it is important th</w:t>
      </w:r>
      <w:r w:rsidR="00B1597F">
        <w:rPr>
          <w:sz w:val="24"/>
          <w:szCs w:val="24"/>
        </w:rPr>
        <w:t>at the DES issue clear guideline</w:t>
      </w:r>
      <w:r w:rsidRPr="00A301A7">
        <w:rPr>
          <w:sz w:val="24"/>
          <w:szCs w:val="24"/>
        </w:rPr>
        <w:t>s as to what supporting documentation parents must provide to a school to support such a claim for an exemption.</w:t>
      </w:r>
    </w:p>
    <w:p w14:paraId="0E7B541E" w14:textId="77777777" w:rsidR="00F855DE" w:rsidRPr="00A301A7" w:rsidRDefault="00F855DE" w:rsidP="00A301A7">
      <w:pPr>
        <w:pStyle w:val="ListParagraph"/>
        <w:numPr>
          <w:ilvl w:val="0"/>
          <w:numId w:val="26"/>
        </w:numPr>
        <w:spacing w:line="360" w:lineRule="auto"/>
        <w:jc w:val="both"/>
        <w:rPr>
          <w:sz w:val="24"/>
          <w:szCs w:val="24"/>
        </w:rPr>
      </w:pPr>
      <w:r w:rsidRPr="00A301A7">
        <w:rPr>
          <w:sz w:val="24"/>
          <w:szCs w:val="24"/>
        </w:rPr>
        <w:t xml:space="preserve">The TUI is concerned that, as set out in the DES consultation paper, the number of applications for exemptions rises considerably in exam years.  The TUI believes that the circular should strongly recommend that exemptions should be made in the year prior to entering post-primary if they haven’t been made before then.  There may be circumstances in which applications need to be made during the years of post-primary education, e.g. emerging SEN or migrating families, but such circumstances should be exceptional and not the norm in applying for exemptions </w:t>
      </w:r>
      <w:r w:rsidR="00B1597F">
        <w:rPr>
          <w:sz w:val="24"/>
          <w:szCs w:val="24"/>
        </w:rPr>
        <w:t xml:space="preserve">especially </w:t>
      </w:r>
      <w:r w:rsidRPr="00A301A7">
        <w:rPr>
          <w:sz w:val="24"/>
          <w:szCs w:val="24"/>
        </w:rPr>
        <w:t>in the year of State exams.</w:t>
      </w:r>
    </w:p>
    <w:p w14:paraId="2C56B15B" w14:textId="77777777" w:rsidR="000E0247" w:rsidRPr="00A301A7" w:rsidRDefault="00F855DE" w:rsidP="00A301A7">
      <w:pPr>
        <w:pStyle w:val="ListParagraph"/>
        <w:numPr>
          <w:ilvl w:val="0"/>
          <w:numId w:val="26"/>
        </w:numPr>
        <w:spacing w:line="360" w:lineRule="auto"/>
        <w:jc w:val="both"/>
        <w:rPr>
          <w:sz w:val="24"/>
          <w:szCs w:val="24"/>
        </w:rPr>
      </w:pPr>
      <w:r w:rsidRPr="00A301A7">
        <w:rPr>
          <w:sz w:val="24"/>
          <w:szCs w:val="24"/>
        </w:rPr>
        <w:t>The circular should strongly remind primary schools of the need to communicate information about student exemptions from Irish to the relevant post-primary school at the earliest reasonable opportunity.</w:t>
      </w:r>
    </w:p>
    <w:p w14:paraId="14DEBB37" w14:textId="77777777" w:rsidR="00F855DE" w:rsidRPr="00A301A7" w:rsidRDefault="00A301A7" w:rsidP="00A301A7">
      <w:pPr>
        <w:pStyle w:val="ListParagraph"/>
        <w:numPr>
          <w:ilvl w:val="0"/>
          <w:numId w:val="26"/>
        </w:numPr>
        <w:spacing w:line="360" w:lineRule="auto"/>
        <w:jc w:val="both"/>
        <w:rPr>
          <w:sz w:val="24"/>
          <w:szCs w:val="24"/>
        </w:rPr>
      </w:pPr>
      <w:r w:rsidRPr="00A301A7">
        <w:rPr>
          <w:sz w:val="24"/>
          <w:szCs w:val="24"/>
        </w:rPr>
        <w:t>The TUI agrees that exemption from the study of Irish should no longer apply in post-primary school where the medium of instruction is Irish.  However, there is a need to retain an exceptional needs element in this context.</w:t>
      </w:r>
    </w:p>
    <w:p w14:paraId="3FC0E793" w14:textId="77777777" w:rsidR="00A301A7" w:rsidRPr="00A301A7" w:rsidRDefault="00A301A7" w:rsidP="00A301A7">
      <w:pPr>
        <w:pStyle w:val="ListParagraph"/>
        <w:numPr>
          <w:ilvl w:val="0"/>
          <w:numId w:val="26"/>
        </w:numPr>
        <w:spacing w:line="360" w:lineRule="auto"/>
        <w:jc w:val="both"/>
        <w:rPr>
          <w:sz w:val="24"/>
          <w:szCs w:val="24"/>
        </w:rPr>
      </w:pPr>
      <w:r w:rsidRPr="00A301A7">
        <w:rPr>
          <w:sz w:val="24"/>
          <w:szCs w:val="24"/>
        </w:rPr>
        <w:lastRenderedPageBreak/>
        <w:t xml:space="preserve">The TUI agrees that the issue of exemptions from Irish for students in special schools or special classes should be determined </w:t>
      </w:r>
      <w:proofErr w:type="gramStart"/>
      <w:r w:rsidRPr="00A301A7">
        <w:rPr>
          <w:sz w:val="24"/>
          <w:szCs w:val="24"/>
        </w:rPr>
        <w:t>on the basis of</w:t>
      </w:r>
      <w:proofErr w:type="gramEnd"/>
      <w:r w:rsidRPr="00A301A7">
        <w:rPr>
          <w:sz w:val="24"/>
          <w:szCs w:val="24"/>
        </w:rPr>
        <w:t xml:space="preserve"> the learning needs of the individual child.</w:t>
      </w:r>
    </w:p>
    <w:p w14:paraId="6680CDE3" w14:textId="077D43D1" w:rsidR="00A301A7" w:rsidRDefault="00A301A7" w:rsidP="00A01EFB">
      <w:pPr>
        <w:pStyle w:val="ListParagraph"/>
        <w:numPr>
          <w:ilvl w:val="0"/>
          <w:numId w:val="26"/>
        </w:numPr>
        <w:spacing w:line="360" w:lineRule="auto"/>
        <w:ind w:left="714" w:hanging="357"/>
        <w:jc w:val="both"/>
        <w:rPr>
          <w:sz w:val="24"/>
          <w:szCs w:val="24"/>
        </w:rPr>
      </w:pPr>
      <w:r w:rsidRPr="00A301A7">
        <w:rPr>
          <w:sz w:val="24"/>
          <w:szCs w:val="24"/>
        </w:rPr>
        <w:t>The TUI strongly disagrees that the appeals process should be moved from the DES to the local level.  There are issues here of administrative overload and double jeopardy at local level.  However, even more importantly, there is currently a difficulty with a lack of consistency across the system in how exemptions are operated.  This is noted by the DES in the Inspectorate report and in the consultation paper.  Such inconsistency cannot be eliminated if there is no central system of appeals.</w:t>
      </w:r>
    </w:p>
    <w:p w14:paraId="661486E4" w14:textId="4803019F" w:rsidR="00A01EFB" w:rsidRPr="00A01EFB" w:rsidRDefault="00A01EFB" w:rsidP="00A01EFB">
      <w:pPr>
        <w:pStyle w:val="ListParagraph"/>
        <w:numPr>
          <w:ilvl w:val="0"/>
          <w:numId w:val="26"/>
        </w:numPr>
        <w:spacing w:line="360" w:lineRule="auto"/>
        <w:ind w:left="714" w:hanging="357"/>
        <w:jc w:val="both"/>
        <w:rPr>
          <w:sz w:val="24"/>
          <w:szCs w:val="24"/>
        </w:rPr>
      </w:pPr>
      <w:r w:rsidRPr="00A01EFB">
        <w:rPr>
          <w:sz w:val="24"/>
          <w:szCs w:val="24"/>
        </w:rPr>
        <w:t>Schools sometimes feel that there is a possible culture of some parents </w:t>
      </w:r>
      <w:r w:rsidRPr="00A01EFB">
        <w:rPr>
          <w:sz w:val="24"/>
          <w:szCs w:val="24"/>
        </w:rPr>
        <w:br/>
        <w:t>strategically opting for schools where exemptions are granted effortlessly. Furthermore, a small number of schools grant exceptions without teachers of Irish being consulted.</w:t>
      </w:r>
    </w:p>
    <w:p w14:paraId="6B9F5D73" w14:textId="1CC9D60B" w:rsidR="00A01EFB" w:rsidRPr="00A01EFB" w:rsidRDefault="00A01EFB" w:rsidP="00A01EFB">
      <w:pPr>
        <w:pStyle w:val="ListParagraph"/>
        <w:numPr>
          <w:ilvl w:val="0"/>
          <w:numId w:val="26"/>
        </w:numPr>
        <w:spacing w:line="360" w:lineRule="auto"/>
        <w:ind w:left="714" w:hanging="357"/>
        <w:jc w:val="both"/>
        <w:rPr>
          <w:sz w:val="24"/>
          <w:szCs w:val="24"/>
        </w:rPr>
      </w:pPr>
      <w:r w:rsidRPr="00A01EFB">
        <w:rPr>
          <w:sz w:val="24"/>
          <w:szCs w:val="24"/>
        </w:rPr>
        <w:t xml:space="preserve">Schools are under significant pressure and do not need the additional parental pressure that could come with a call from some parents for the child to be granted ‘extra’ Maths or English classes instead of learning a language </w:t>
      </w:r>
      <w:r>
        <w:rPr>
          <w:sz w:val="24"/>
          <w:szCs w:val="24"/>
        </w:rPr>
        <w:t>such as I</w:t>
      </w:r>
      <w:r w:rsidRPr="00A01EFB">
        <w:rPr>
          <w:sz w:val="24"/>
          <w:szCs w:val="24"/>
        </w:rPr>
        <w:t>rish.</w:t>
      </w:r>
    </w:p>
    <w:p w14:paraId="76677559" w14:textId="77777777" w:rsidR="00A301A7" w:rsidRPr="00A01EFB" w:rsidRDefault="00A301A7" w:rsidP="007D7C46">
      <w:pPr>
        <w:spacing w:line="360" w:lineRule="auto"/>
        <w:jc w:val="both"/>
        <w:rPr>
          <w:sz w:val="24"/>
          <w:szCs w:val="24"/>
        </w:rPr>
      </w:pPr>
    </w:p>
    <w:p w14:paraId="7A0DC925" w14:textId="77777777" w:rsidR="000E0247" w:rsidRPr="00605718" w:rsidRDefault="00605718" w:rsidP="007D7C46">
      <w:pPr>
        <w:spacing w:line="360" w:lineRule="auto"/>
        <w:jc w:val="both"/>
        <w:rPr>
          <w:rFonts w:eastAsia="ArialMT" w:cs="Arial"/>
          <w:b/>
          <w:sz w:val="28"/>
          <w:szCs w:val="28"/>
          <w:u w:val="single"/>
        </w:rPr>
      </w:pPr>
      <w:r w:rsidRPr="00605718">
        <w:rPr>
          <w:rFonts w:eastAsia="ArialMT" w:cs="Arial"/>
          <w:b/>
          <w:sz w:val="28"/>
          <w:szCs w:val="28"/>
          <w:u w:val="single"/>
        </w:rPr>
        <w:t>Conclu</w:t>
      </w:r>
      <w:r w:rsidR="000E0247" w:rsidRPr="00605718">
        <w:rPr>
          <w:rFonts w:eastAsia="ArialMT" w:cs="Arial"/>
          <w:b/>
          <w:sz w:val="28"/>
          <w:szCs w:val="28"/>
          <w:u w:val="single"/>
        </w:rPr>
        <w:t>sion</w:t>
      </w:r>
    </w:p>
    <w:p w14:paraId="7DEA8D58" w14:textId="77777777" w:rsidR="000E0247" w:rsidRDefault="000E0247" w:rsidP="007D7C46">
      <w:pPr>
        <w:spacing w:line="360" w:lineRule="auto"/>
        <w:jc w:val="both"/>
        <w:rPr>
          <w:sz w:val="24"/>
          <w:szCs w:val="24"/>
        </w:rPr>
      </w:pPr>
      <w:r>
        <w:rPr>
          <w:sz w:val="24"/>
          <w:szCs w:val="24"/>
        </w:rPr>
        <w:t>As the Inspectorate report states (DES 2018</w:t>
      </w:r>
      <w:r w:rsidR="00605718">
        <w:rPr>
          <w:sz w:val="24"/>
          <w:szCs w:val="24"/>
        </w:rPr>
        <w:t>c</w:t>
      </w:r>
      <w:r>
        <w:rPr>
          <w:sz w:val="24"/>
          <w:szCs w:val="24"/>
        </w:rPr>
        <w:t>:</w:t>
      </w:r>
      <w:r w:rsidR="00C71902">
        <w:rPr>
          <w:sz w:val="24"/>
          <w:szCs w:val="24"/>
        </w:rPr>
        <w:t xml:space="preserve"> </w:t>
      </w:r>
      <w:r>
        <w:rPr>
          <w:sz w:val="24"/>
          <w:szCs w:val="24"/>
        </w:rPr>
        <w:t xml:space="preserve">89) “the issue of language exemptions is complex and there are no simple solutions”.  The TUI agrees that an ad hoc system of exemptions has taken over from the practice in the original circulars.  New forms of need have </w:t>
      </w:r>
      <w:proofErr w:type="gramStart"/>
      <w:r>
        <w:rPr>
          <w:sz w:val="24"/>
          <w:szCs w:val="24"/>
        </w:rPr>
        <w:t>arisen</w:t>
      </w:r>
      <w:proofErr w:type="gramEnd"/>
      <w:r>
        <w:rPr>
          <w:sz w:val="24"/>
          <w:szCs w:val="24"/>
        </w:rPr>
        <w:t xml:space="preserve"> and a new Ireland is evident.  The proposed circular </w:t>
      </w:r>
      <w:r w:rsidR="00605718">
        <w:rPr>
          <w:sz w:val="24"/>
          <w:szCs w:val="24"/>
        </w:rPr>
        <w:t>is well-intended and d</w:t>
      </w:r>
      <w:r>
        <w:rPr>
          <w:sz w:val="24"/>
          <w:szCs w:val="24"/>
        </w:rPr>
        <w:t>oes address issues of new forms of SEN for example.  However, it is not acceptable to take the role of the DES and NEPS</w:t>
      </w:r>
      <w:r w:rsidR="00605718">
        <w:rPr>
          <w:sz w:val="24"/>
          <w:szCs w:val="24"/>
        </w:rPr>
        <w:t xml:space="preserve"> and s</w:t>
      </w:r>
      <w:r>
        <w:rPr>
          <w:sz w:val="24"/>
          <w:szCs w:val="24"/>
        </w:rPr>
        <w:t>i</w:t>
      </w:r>
      <w:r w:rsidR="00B1597F">
        <w:rPr>
          <w:sz w:val="24"/>
          <w:szCs w:val="24"/>
        </w:rPr>
        <w:t>mply move it on to already hard-</w:t>
      </w:r>
      <w:r>
        <w:rPr>
          <w:sz w:val="24"/>
          <w:szCs w:val="24"/>
        </w:rPr>
        <w:t>pressed schools.</w:t>
      </w:r>
    </w:p>
    <w:p w14:paraId="2A3D6161" w14:textId="77777777" w:rsidR="000E0247" w:rsidRDefault="000E0247" w:rsidP="007D7C46">
      <w:pPr>
        <w:spacing w:line="360" w:lineRule="auto"/>
        <w:jc w:val="both"/>
        <w:rPr>
          <w:sz w:val="24"/>
          <w:szCs w:val="24"/>
        </w:rPr>
      </w:pPr>
    </w:p>
    <w:p w14:paraId="0FCD9C2F" w14:textId="77777777" w:rsidR="00E73014" w:rsidRPr="00F855DE" w:rsidRDefault="00E73014" w:rsidP="007D7C46">
      <w:pPr>
        <w:spacing w:line="360" w:lineRule="auto"/>
        <w:jc w:val="both"/>
        <w:rPr>
          <w:b/>
          <w:sz w:val="24"/>
          <w:szCs w:val="24"/>
        </w:rPr>
      </w:pPr>
      <w:r w:rsidRPr="00F855DE">
        <w:rPr>
          <w:b/>
          <w:sz w:val="24"/>
          <w:szCs w:val="24"/>
        </w:rPr>
        <w:t xml:space="preserve">Ends </w:t>
      </w:r>
    </w:p>
    <w:p w14:paraId="5DED77A9" w14:textId="77777777" w:rsidR="00E73014" w:rsidRPr="007D7C46" w:rsidRDefault="00BB24CC" w:rsidP="007D7C46">
      <w:pPr>
        <w:spacing w:line="360" w:lineRule="auto"/>
        <w:jc w:val="both"/>
        <w:rPr>
          <w:b/>
          <w:sz w:val="24"/>
          <w:szCs w:val="24"/>
        </w:rPr>
      </w:pPr>
      <w:r w:rsidRPr="007D7C46">
        <w:rPr>
          <w:b/>
          <w:sz w:val="24"/>
          <w:szCs w:val="24"/>
        </w:rPr>
        <w:t>David Duffy</w:t>
      </w:r>
      <w:r w:rsidR="00E73014" w:rsidRPr="007D7C46">
        <w:rPr>
          <w:b/>
          <w:sz w:val="24"/>
          <w:szCs w:val="24"/>
        </w:rPr>
        <w:t xml:space="preserve"> (Education/Research Officer, TUI)</w:t>
      </w:r>
      <w:r w:rsidR="00087033" w:rsidRPr="007D7C46">
        <w:rPr>
          <w:b/>
          <w:sz w:val="24"/>
          <w:szCs w:val="24"/>
        </w:rPr>
        <w:t xml:space="preserve">, </w:t>
      </w:r>
      <w:hyperlink r:id="rId8" w:history="1">
        <w:r w:rsidR="00383317" w:rsidRPr="007D7C46">
          <w:rPr>
            <w:rStyle w:val="Hyperlink"/>
            <w:sz w:val="24"/>
            <w:szCs w:val="24"/>
          </w:rPr>
          <w:t>dduffy@tui.ie</w:t>
        </w:r>
      </w:hyperlink>
      <w:r w:rsidR="00383317" w:rsidRPr="007D7C46">
        <w:rPr>
          <w:b/>
          <w:sz w:val="24"/>
          <w:szCs w:val="24"/>
        </w:rPr>
        <w:t>, 01 4922588</w:t>
      </w:r>
    </w:p>
    <w:p w14:paraId="7A147E42" w14:textId="77777777" w:rsidR="00A67B64" w:rsidRPr="007D7C46" w:rsidRDefault="00A67B64" w:rsidP="007D7C46">
      <w:pPr>
        <w:spacing w:line="360" w:lineRule="auto"/>
        <w:jc w:val="both"/>
        <w:rPr>
          <w:b/>
          <w:sz w:val="24"/>
          <w:szCs w:val="24"/>
        </w:rPr>
      </w:pPr>
    </w:p>
    <w:p w14:paraId="7F3CB172" w14:textId="77777777" w:rsidR="00632D41" w:rsidRPr="007D7C46" w:rsidRDefault="00632D41" w:rsidP="007D7C46">
      <w:pPr>
        <w:spacing w:line="360" w:lineRule="auto"/>
        <w:jc w:val="both"/>
        <w:rPr>
          <w:b/>
          <w:sz w:val="24"/>
          <w:szCs w:val="24"/>
        </w:rPr>
      </w:pPr>
      <w:r w:rsidRPr="007D7C46">
        <w:rPr>
          <w:b/>
          <w:sz w:val="24"/>
          <w:szCs w:val="24"/>
        </w:rPr>
        <w:lastRenderedPageBreak/>
        <w:t>Glossary</w:t>
      </w:r>
    </w:p>
    <w:p w14:paraId="56704BD6" w14:textId="77777777" w:rsidR="001F3BFD" w:rsidRPr="007D7C46" w:rsidRDefault="001F3BFD" w:rsidP="001F3BFD">
      <w:pPr>
        <w:spacing w:line="360" w:lineRule="auto"/>
        <w:jc w:val="both"/>
        <w:rPr>
          <w:sz w:val="24"/>
          <w:szCs w:val="24"/>
        </w:rPr>
      </w:pPr>
      <w:r w:rsidRPr="007D7C46">
        <w:rPr>
          <w:sz w:val="24"/>
          <w:szCs w:val="24"/>
        </w:rPr>
        <w:t>C&amp;C</w:t>
      </w:r>
      <w:r w:rsidRPr="007D7C46">
        <w:rPr>
          <w:sz w:val="24"/>
          <w:szCs w:val="24"/>
        </w:rPr>
        <w:tab/>
      </w:r>
      <w:r w:rsidRPr="007D7C46">
        <w:rPr>
          <w:sz w:val="24"/>
          <w:szCs w:val="24"/>
        </w:rPr>
        <w:tab/>
        <w:t>Community and Comprehensive</w:t>
      </w:r>
    </w:p>
    <w:p w14:paraId="2D1A4076" w14:textId="77777777" w:rsidR="00632D41" w:rsidRPr="007D7C46" w:rsidRDefault="00632D41" w:rsidP="007D7C46">
      <w:pPr>
        <w:spacing w:line="360" w:lineRule="auto"/>
        <w:jc w:val="both"/>
        <w:rPr>
          <w:sz w:val="24"/>
          <w:szCs w:val="24"/>
        </w:rPr>
      </w:pPr>
      <w:r w:rsidRPr="007D7C46">
        <w:rPr>
          <w:sz w:val="24"/>
          <w:szCs w:val="24"/>
        </w:rPr>
        <w:t>DES</w:t>
      </w:r>
      <w:r w:rsidRPr="007D7C46">
        <w:rPr>
          <w:sz w:val="24"/>
          <w:szCs w:val="24"/>
        </w:rPr>
        <w:tab/>
      </w:r>
      <w:r w:rsidRPr="007D7C46">
        <w:rPr>
          <w:sz w:val="24"/>
          <w:szCs w:val="24"/>
        </w:rPr>
        <w:tab/>
        <w:t>Department of Education and Skills</w:t>
      </w:r>
    </w:p>
    <w:p w14:paraId="6327C209" w14:textId="77777777" w:rsidR="001F3BFD" w:rsidRPr="007D7C46" w:rsidRDefault="001F3BFD" w:rsidP="001F3BFD">
      <w:pPr>
        <w:spacing w:line="360" w:lineRule="auto"/>
        <w:jc w:val="both"/>
        <w:rPr>
          <w:sz w:val="24"/>
          <w:szCs w:val="24"/>
        </w:rPr>
      </w:pPr>
      <w:r w:rsidRPr="007D7C46">
        <w:rPr>
          <w:sz w:val="24"/>
          <w:szCs w:val="24"/>
        </w:rPr>
        <w:t>ETB</w:t>
      </w:r>
      <w:r w:rsidRPr="007D7C46">
        <w:rPr>
          <w:sz w:val="24"/>
          <w:szCs w:val="24"/>
        </w:rPr>
        <w:tab/>
      </w:r>
      <w:r w:rsidRPr="007D7C46">
        <w:rPr>
          <w:sz w:val="24"/>
          <w:szCs w:val="24"/>
        </w:rPr>
        <w:tab/>
        <w:t>Education and Training Board</w:t>
      </w:r>
    </w:p>
    <w:p w14:paraId="074BC4F1" w14:textId="77777777" w:rsidR="005B289F" w:rsidRPr="007D7C46" w:rsidRDefault="005B289F" w:rsidP="007D7C46">
      <w:pPr>
        <w:spacing w:line="360" w:lineRule="auto"/>
        <w:jc w:val="both"/>
        <w:rPr>
          <w:sz w:val="24"/>
          <w:szCs w:val="24"/>
        </w:rPr>
      </w:pPr>
      <w:r w:rsidRPr="007D7C46">
        <w:rPr>
          <w:sz w:val="24"/>
          <w:szCs w:val="24"/>
        </w:rPr>
        <w:t>EPSEN</w:t>
      </w:r>
      <w:r w:rsidRPr="007D7C46">
        <w:rPr>
          <w:sz w:val="24"/>
          <w:szCs w:val="24"/>
        </w:rPr>
        <w:tab/>
      </w:r>
      <w:r w:rsidRPr="007D7C46">
        <w:rPr>
          <w:sz w:val="24"/>
          <w:szCs w:val="24"/>
        </w:rPr>
        <w:tab/>
        <w:t>Education for Persons with Special Educational Needs Act 2004</w:t>
      </w:r>
    </w:p>
    <w:p w14:paraId="00CEF3B9" w14:textId="77777777" w:rsidR="002A70E5" w:rsidRDefault="002A70E5" w:rsidP="001F3BFD">
      <w:pPr>
        <w:spacing w:line="360" w:lineRule="auto"/>
        <w:jc w:val="both"/>
        <w:rPr>
          <w:sz w:val="24"/>
          <w:szCs w:val="24"/>
        </w:rPr>
      </w:pPr>
      <w:r>
        <w:rPr>
          <w:sz w:val="24"/>
          <w:szCs w:val="24"/>
        </w:rPr>
        <w:t>NEPS</w:t>
      </w:r>
      <w:r>
        <w:rPr>
          <w:sz w:val="24"/>
          <w:szCs w:val="24"/>
        </w:rPr>
        <w:tab/>
      </w:r>
      <w:r>
        <w:rPr>
          <w:sz w:val="24"/>
          <w:szCs w:val="24"/>
        </w:rPr>
        <w:tab/>
        <w:t>National Educational Psychological Service</w:t>
      </w:r>
    </w:p>
    <w:p w14:paraId="1E68AD17" w14:textId="77777777" w:rsidR="00B0086B" w:rsidRPr="007D7C46" w:rsidRDefault="00B0086B" w:rsidP="007D7C46">
      <w:pPr>
        <w:spacing w:line="360" w:lineRule="auto"/>
        <w:jc w:val="both"/>
        <w:rPr>
          <w:sz w:val="24"/>
          <w:szCs w:val="24"/>
        </w:rPr>
      </w:pPr>
      <w:r w:rsidRPr="007D7C46">
        <w:rPr>
          <w:sz w:val="24"/>
          <w:szCs w:val="24"/>
        </w:rPr>
        <w:t>SEN</w:t>
      </w:r>
      <w:r w:rsidRPr="007D7C46">
        <w:rPr>
          <w:sz w:val="24"/>
          <w:szCs w:val="24"/>
        </w:rPr>
        <w:tab/>
      </w:r>
      <w:r w:rsidRPr="007D7C46">
        <w:rPr>
          <w:sz w:val="24"/>
          <w:szCs w:val="24"/>
        </w:rPr>
        <w:tab/>
        <w:t>Special Educational Need</w:t>
      </w:r>
    </w:p>
    <w:p w14:paraId="30C51DA1" w14:textId="77777777" w:rsidR="005B289F" w:rsidRPr="007D7C46" w:rsidRDefault="005B289F" w:rsidP="007D7C46">
      <w:pPr>
        <w:spacing w:line="360" w:lineRule="auto"/>
        <w:jc w:val="both"/>
        <w:rPr>
          <w:sz w:val="24"/>
          <w:szCs w:val="24"/>
        </w:rPr>
      </w:pPr>
      <w:r w:rsidRPr="007D7C46">
        <w:rPr>
          <w:sz w:val="24"/>
          <w:szCs w:val="24"/>
        </w:rPr>
        <w:t>TUI</w:t>
      </w:r>
      <w:r w:rsidRPr="007D7C46">
        <w:rPr>
          <w:sz w:val="24"/>
          <w:szCs w:val="24"/>
        </w:rPr>
        <w:tab/>
      </w:r>
      <w:r w:rsidRPr="007D7C46">
        <w:rPr>
          <w:sz w:val="24"/>
          <w:szCs w:val="24"/>
        </w:rPr>
        <w:tab/>
        <w:t>Teachers’ Union of Ireland</w:t>
      </w:r>
    </w:p>
    <w:p w14:paraId="67542052" w14:textId="77777777" w:rsidR="00D317E4" w:rsidRPr="007D7C46" w:rsidRDefault="00D317E4" w:rsidP="007D7C46">
      <w:pPr>
        <w:spacing w:line="360" w:lineRule="auto"/>
        <w:jc w:val="both"/>
        <w:rPr>
          <w:b/>
          <w:sz w:val="24"/>
          <w:szCs w:val="24"/>
        </w:rPr>
      </w:pPr>
      <w:r w:rsidRPr="007D7C46">
        <w:rPr>
          <w:b/>
          <w:sz w:val="24"/>
          <w:szCs w:val="24"/>
        </w:rPr>
        <w:br w:type="page"/>
      </w:r>
    </w:p>
    <w:p w14:paraId="2168DF51" w14:textId="77777777" w:rsidR="00AC49BB" w:rsidRPr="007D7C46" w:rsidRDefault="00AC49BB" w:rsidP="007D7C46">
      <w:pPr>
        <w:spacing w:line="360" w:lineRule="auto"/>
        <w:jc w:val="both"/>
        <w:rPr>
          <w:b/>
          <w:sz w:val="24"/>
          <w:szCs w:val="24"/>
        </w:rPr>
      </w:pPr>
      <w:r w:rsidRPr="007D7C46">
        <w:rPr>
          <w:b/>
          <w:sz w:val="24"/>
          <w:szCs w:val="24"/>
        </w:rPr>
        <w:lastRenderedPageBreak/>
        <w:t>References</w:t>
      </w:r>
    </w:p>
    <w:p w14:paraId="4F4BE969" w14:textId="77777777" w:rsidR="00632D41" w:rsidRPr="00476435" w:rsidRDefault="00632D41" w:rsidP="00476435">
      <w:pPr>
        <w:spacing w:after="200" w:line="360" w:lineRule="auto"/>
        <w:jc w:val="both"/>
        <w:rPr>
          <w:rFonts w:cs="Arial"/>
          <w:sz w:val="24"/>
          <w:szCs w:val="24"/>
        </w:rPr>
      </w:pPr>
      <w:bookmarkStart w:id="6" w:name="_Hlk524438858"/>
      <w:proofErr w:type="spellStart"/>
      <w:r w:rsidRPr="00476435">
        <w:rPr>
          <w:rFonts w:cs="Arial"/>
          <w:sz w:val="24"/>
          <w:szCs w:val="24"/>
        </w:rPr>
        <w:t>Barnardos</w:t>
      </w:r>
      <w:proofErr w:type="spellEnd"/>
      <w:r w:rsidRPr="00476435">
        <w:rPr>
          <w:rFonts w:cs="Arial"/>
          <w:sz w:val="24"/>
          <w:szCs w:val="24"/>
        </w:rPr>
        <w:t xml:space="preserve"> (2008), </w:t>
      </w:r>
      <w:r w:rsidRPr="00476435">
        <w:rPr>
          <w:rFonts w:cs="Arial"/>
          <w:i/>
          <w:sz w:val="24"/>
          <w:szCs w:val="24"/>
        </w:rPr>
        <w:t>Tomorrow’s Child</w:t>
      </w:r>
      <w:r w:rsidRPr="00476435">
        <w:rPr>
          <w:rFonts w:cs="Arial"/>
          <w:sz w:val="24"/>
          <w:szCs w:val="24"/>
        </w:rPr>
        <w:t xml:space="preserve">, Dublin: </w:t>
      </w:r>
      <w:proofErr w:type="spellStart"/>
      <w:r w:rsidRPr="00476435">
        <w:rPr>
          <w:rFonts w:cs="Arial"/>
          <w:sz w:val="24"/>
          <w:szCs w:val="24"/>
        </w:rPr>
        <w:t>Barnardos</w:t>
      </w:r>
      <w:proofErr w:type="spellEnd"/>
    </w:p>
    <w:p w14:paraId="2E4649D2" w14:textId="77777777" w:rsidR="005663E7" w:rsidRPr="00476435" w:rsidRDefault="005663E7" w:rsidP="00476435">
      <w:pPr>
        <w:autoSpaceDE w:val="0"/>
        <w:autoSpaceDN w:val="0"/>
        <w:adjustRightInd w:val="0"/>
        <w:spacing w:after="0" w:line="360" w:lineRule="auto"/>
        <w:jc w:val="both"/>
        <w:rPr>
          <w:rFonts w:cs="Arial"/>
          <w:color w:val="000000"/>
          <w:sz w:val="24"/>
          <w:szCs w:val="24"/>
        </w:rPr>
      </w:pPr>
      <w:bookmarkStart w:id="7" w:name="_Hlk531770913"/>
      <w:bookmarkEnd w:id="6"/>
      <w:r w:rsidRPr="00476435">
        <w:rPr>
          <w:rFonts w:cs="Arial"/>
          <w:color w:val="000000"/>
          <w:sz w:val="24"/>
          <w:szCs w:val="24"/>
        </w:rPr>
        <w:t xml:space="preserve">Boyle (2017), </w:t>
      </w:r>
      <w:r w:rsidRPr="00476435">
        <w:rPr>
          <w:rFonts w:cs="Arial"/>
          <w:i/>
          <w:color w:val="000000"/>
          <w:sz w:val="24"/>
          <w:szCs w:val="24"/>
        </w:rPr>
        <w:t>Public Sector Trends 2017</w:t>
      </w:r>
      <w:r w:rsidRPr="00476435">
        <w:rPr>
          <w:rFonts w:cs="Arial"/>
          <w:color w:val="000000"/>
          <w:sz w:val="24"/>
          <w:szCs w:val="24"/>
        </w:rPr>
        <w:t>, Dublin: Institute of Public Administration</w:t>
      </w:r>
    </w:p>
    <w:p w14:paraId="598ACD9C" w14:textId="77777777" w:rsidR="00B47744" w:rsidRPr="00476435" w:rsidRDefault="00B47744" w:rsidP="00476435">
      <w:pPr>
        <w:autoSpaceDE w:val="0"/>
        <w:autoSpaceDN w:val="0"/>
        <w:adjustRightInd w:val="0"/>
        <w:spacing w:after="0" w:line="360" w:lineRule="auto"/>
        <w:jc w:val="both"/>
        <w:rPr>
          <w:rFonts w:cs="Arial"/>
          <w:color w:val="000000"/>
          <w:sz w:val="24"/>
          <w:szCs w:val="24"/>
        </w:rPr>
      </w:pPr>
      <w:r w:rsidRPr="00476435">
        <w:rPr>
          <w:rFonts w:cs="Arial"/>
          <w:color w:val="000000"/>
          <w:sz w:val="24"/>
          <w:szCs w:val="24"/>
        </w:rPr>
        <w:t xml:space="preserve">Boyle (2018), </w:t>
      </w:r>
      <w:r w:rsidRPr="00476435">
        <w:rPr>
          <w:rFonts w:cs="Arial"/>
          <w:i/>
          <w:color w:val="000000"/>
          <w:sz w:val="24"/>
          <w:szCs w:val="24"/>
        </w:rPr>
        <w:t>Public Sector Trends 2018</w:t>
      </w:r>
      <w:r w:rsidRPr="00476435">
        <w:rPr>
          <w:rFonts w:cs="Arial"/>
          <w:color w:val="000000"/>
          <w:sz w:val="24"/>
          <w:szCs w:val="24"/>
        </w:rPr>
        <w:t>, Dublin: Institute of Public Administration</w:t>
      </w:r>
    </w:p>
    <w:bookmarkEnd w:id="7"/>
    <w:p w14:paraId="3CFECF16" w14:textId="77777777" w:rsidR="00B275A3" w:rsidRPr="00476435" w:rsidRDefault="00B275A3" w:rsidP="00476435">
      <w:pPr>
        <w:spacing w:line="360" w:lineRule="auto"/>
        <w:jc w:val="both"/>
        <w:rPr>
          <w:rFonts w:cs="Arial"/>
          <w:sz w:val="24"/>
          <w:szCs w:val="24"/>
        </w:rPr>
      </w:pPr>
      <w:r w:rsidRPr="00476435">
        <w:rPr>
          <w:rFonts w:cs="Arial"/>
          <w:sz w:val="24"/>
          <w:szCs w:val="24"/>
        </w:rPr>
        <w:t xml:space="preserve">Children’s Rights Alliance (2015), </w:t>
      </w:r>
      <w:r w:rsidRPr="00476435">
        <w:rPr>
          <w:rFonts w:cs="Arial"/>
          <w:i/>
          <w:sz w:val="24"/>
          <w:szCs w:val="24"/>
        </w:rPr>
        <w:t>Are We There Yet?  Parallel Report to Ireland’s Third and Fourth Combined Report under the UN Convention on the Rights of the Child</w:t>
      </w:r>
      <w:r w:rsidRPr="00476435">
        <w:rPr>
          <w:rFonts w:cs="Arial"/>
          <w:sz w:val="24"/>
          <w:szCs w:val="24"/>
        </w:rPr>
        <w:t>, Dublin: Children’s Rights Alliance</w:t>
      </w:r>
    </w:p>
    <w:p w14:paraId="165B4AAC" w14:textId="77777777" w:rsidR="00EC3D1B" w:rsidRPr="00476435" w:rsidRDefault="00EC3D1B" w:rsidP="00476435">
      <w:pPr>
        <w:spacing w:line="360" w:lineRule="auto"/>
        <w:jc w:val="both"/>
        <w:rPr>
          <w:rFonts w:cs="Arial"/>
          <w:sz w:val="24"/>
          <w:szCs w:val="24"/>
        </w:rPr>
      </w:pPr>
      <w:r w:rsidRPr="00476435">
        <w:rPr>
          <w:rFonts w:cs="Arial"/>
          <w:sz w:val="24"/>
          <w:szCs w:val="24"/>
        </w:rPr>
        <w:t xml:space="preserve">Children’s Rights Alliance (2018), </w:t>
      </w:r>
      <w:r w:rsidRPr="00476435">
        <w:rPr>
          <w:rFonts w:cs="Arial"/>
          <w:i/>
          <w:sz w:val="24"/>
          <w:szCs w:val="24"/>
        </w:rPr>
        <w:t>Report Card 2018</w:t>
      </w:r>
      <w:r w:rsidRPr="00476435">
        <w:rPr>
          <w:rFonts w:cs="Arial"/>
          <w:sz w:val="24"/>
          <w:szCs w:val="24"/>
        </w:rPr>
        <w:t>, Dublin: Children’s Rights Alliance</w:t>
      </w:r>
    </w:p>
    <w:p w14:paraId="474C6D7E" w14:textId="77777777" w:rsidR="005663E7" w:rsidRPr="00476435" w:rsidRDefault="005663E7" w:rsidP="00476435">
      <w:pPr>
        <w:spacing w:after="200" w:line="360" w:lineRule="auto"/>
        <w:jc w:val="both"/>
        <w:rPr>
          <w:rFonts w:cs="Arial"/>
          <w:sz w:val="24"/>
          <w:szCs w:val="24"/>
        </w:rPr>
      </w:pPr>
      <w:proofErr w:type="spellStart"/>
      <w:r w:rsidRPr="00476435">
        <w:rPr>
          <w:rFonts w:cs="Arial"/>
          <w:sz w:val="24"/>
          <w:szCs w:val="24"/>
        </w:rPr>
        <w:t>Comhairle</w:t>
      </w:r>
      <w:proofErr w:type="spellEnd"/>
      <w:r w:rsidRPr="00476435">
        <w:rPr>
          <w:rFonts w:cs="Arial"/>
          <w:sz w:val="24"/>
          <w:szCs w:val="24"/>
        </w:rPr>
        <w:t xml:space="preserve"> </w:t>
      </w:r>
      <w:proofErr w:type="spellStart"/>
      <w:r w:rsidRPr="00476435">
        <w:rPr>
          <w:rFonts w:cs="Arial"/>
          <w:sz w:val="24"/>
          <w:szCs w:val="24"/>
        </w:rPr>
        <w:t>na</w:t>
      </w:r>
      <w:proofErr w:type="spellEnd"/>
      <w:r w:rsidRPr="00476435">
        <w:rPr>
          <w:rFonts w:cs="Arial"/>
          <w:sz w:val="24"/>
          <w:szCs w:val="24"/>
        </w:rPr>
        <w:t xml:space="preserve"> </w:t>
      </w:r>
      <w:proofErr w:type="spellStart"/>
      <w:r w:rsidRPr="00476435">
        <w:rPr>
          <w:rFonts w:cs="Arial"/>
          <w:sz w:val="24"/>
          <w:szCs w:val="24"/>
        </w:rPr>
        <w:t>nOg</w:t>
      </w:r>
      <w:proofErr w:type="spellEnd"/>
      <w:r w:rsidRPr="00476435">
        <w:rPr>
          <w:rFonts w:cs="Arial"/>
          <w:sz w:val="24"/>
          <w:szCs w:val="24"/>
        </w:rPr>
        <w:t xml:space="preserve"> (2017), </w:t>
      </w:r>
      <w:r w:rsidRPr="00476435">
        <w:rPr>
          <w:rFonts w:cs="Arial"/>
          <w:i/>
          <w:sz w:val="24"/>
          <w:szCs w:val="24"/>
        </w:rPr>
        <w:t>So, How Was School Today?</w:t>
      </w:r>
      <w:r w:rsidRPr="00476435">
        <w:rPr>
          <w:rFonts w:cs="Arial"/>
          <w:sz w:val="24"/>
          <w:szCs w:val="24"/>
        </w:rPr>
        <w:t xml:space="preserve"> Dublin: Department of Children and Youth Affairs </w:t>
      </w:r>
    </w:p>
    <w:p w14:paraId="5A115FC7" w14:textId="77777777" w:rsidR="00383317" w:rsidRPr="00476435" w:rsidRDefault="00383317" w:rsidP="00476435">
      <w:pPr>
        <w:spacing w:line="360" w:lineRule="auto"/>
        <w:jc w:val="both"/>
        <w:rPr>
          <w:rFonts w:cs="Arial"/>
          <w:sz w:val="24"/>
          <w:szCs w:val="24"/>
        </w:rPr>
      </w:pPr>
      <w:proofErr w:type="spellStart"/>
      <w:r w:rsidRPr="00476435">
        <w:rPr>
          <w:rFonts w:cs="Arial"/>
          <w:sz w:val="24"/>
          <w:szCs w:val="24"/>
        </w:rPr>
        <w:t>Crehan</w:t>
      </w:r>
      <w:proofErr w:type="spellEnd"/>
      <w:r w:rsidRPr="00476435">
        <w:rPr>
          <w:rFonts w:cs="Arial"/>
          <w:sz w:val="24"/>
          <w:szCs w:val="24"/>
        </w:rPr>
        <w:t xml:space="preserve">, L. (2016), </w:t>
      </w:r>
      <w:proofErr w:type="spellStart"/>
      <w:r w:rsidRPr="00476435">
        <w:rPr>
          <w:rFonts w:cs="Arial"/>
          <w:i/>
          <w:sz w:val="24"/>
          <w:szCs w:val="24"/>
        </w:rPr>
        <w:t>Cleverlands</w:t>
      </w:r>
      <w:proofErr w:type="spellEnd"/>
      <w:r w:rsidRPr="00476435">
        <w:rPr>
          <w:rFonts w:cs="Arial"/>
          <w:sz w:val="24"/>
          <w:szCs w:val="24"/>
        </w:rPr>
        <w:t xml:space="preserve">, London: Unbound </w:t>
      </w:r>
    </w:p>
    <w:p w14:paraId="6794296F" w14:textId="77777777" w:rsidR="00207614" w:rsidRPr="00476435" w:rsidRDefault="00207614" w:rsidP="00476435">
      <w:pPr>
        <w:spacing w:line="360" w:lineRule="auto"/>
        <w:jc w:val="both"/>
        <w:rPr>
          <w:sz w:val="24"/>
          <w:szCs w:val="24"/>
        </w:rPr>
      </w:pPr>
      <w:r w:rsidRPr="00476435">
        <w:rPr>
          <w:rFonts w:cs="Arial"/>
          <w:sz w:val="24"/>
          <w:szCs w:val="24"/>
        </w:rPr>
        <w:t xml:space="preserve">CSO (2009), </w:t>
      </w:r>
      <w:r w:rsidRPr="00476435">
        <w:rPr>
          <w:rFonts w:cs="Arial"/>
          <w:i/>
          <w:sz w:val="24"/>
          <w:szCs w:val="24"/>
        </w:rPr>
        <w:t>Children and Young People in Ireland 2008</w:t>
      </w:r>
      <w:r w:rsidRPr="00476435">
        <w:rPr>
          <w:rFonts w:cs="Arial"/>
          <w:sz w:val="24"/>
          <w:szCs w:val="24"/>
        </w:rPr>
        <w:t>, Cork: Central Statistics Office</w:t>
      </w:r>
      <w:r w:rsidRPr="00476435">
        <w:rPr>
          <w:sz w:val="24"/>
          <w:szCs w:val="24"/>
        </w:rPr>
        <w:t xml:space="preserve"> </w:t>
      </w:r>
    </w:p>
    <w:p w14:paraId="3A0686DA" w14:textId="77777777" w:rsidR="00207614" w:rsidRPr="00476435" w:rsidRDefault="00C2074B" w:rsidP="00476435">
      <w:pPr>
        <w:spacing w:line="360" w:lineRule="auto"/>
        <w:jc w:val="both"/>
        <w:rPr>
          <w:sz w:val="24"/>
          <w:szCs w:val="24"/>
        </w:rPr>
      </w:pPr>
      <w:r w:rsidRPr="00476435">
        <w:rPr>
          <w:sz w:val="24"/>
          <w:szCs w:val="24"/>
        </w:rPr>
        <w:t>CSO (2017</w:t>
      </w:r>
      <w:r w:rsidR="00207614" w:rsidRPr="00476435">
        <w:rPr>
          <w:sz w:val="24"/>
          <w:szCs w:val="24"/>
        </w:rPr>
        <w:t xml:space="preserve">), </w:t>
      </w:r>
      <w:r w:rsidR="00207614" w:rsidRPr="00476435">
        <w:rPr>
          <w:i/>
          <w:sz w:val="24"/>
          <w:szCs w:val="24"/>
        </w:rPr>
        <w:t>Vita</w:t>
      </w:r>
      <w:r w:rsidRPr="00476435">
        <w:rPr>
          <w:i/>
          <w:sz w:val="24"/>
          <w:szCs w:val="24"/>
        </w:rPr>
        <w:t>l Statistics Yearly Summary 2016</w:t>
      </w:r>
      <w:r w:rsidR="00207614" w:rsidRPr="00476435">
        <w:rPr>
          <w:sz w:val="24"/>
          <w:szCs w:val="24"/>
        </w:rPr>
        <w:t>, Cork: Central Statistics Office</w:t>
      </w:r>
    </w:p>
    <w:p w14:paraId="277038E1" w14:textId="77777777" w:rsidR="000B70CE" w:rsidRPr="00476435" w:rsidRDefault="000B70CE" w:rsidP="00476435">
      <w:pPr>
        <w:pStyle w:val="Default"/>
        <w:spacing w:line="360" w:lineRule="auto"/>
        <w:jc w:val="both"/>
        <w:rPr>
          <w:rFonts w:asciiTheme="minorHAnsi" w:hAnsiTheme="minorHAnsi" w:cstheme="minorBidi"/>
          <w:color w:val="auto"/>
        </w:rPr>
      </w:pPr>
      <w:r w:rsidRPr="00476435">
        <w:rPr>
          <w:rFonts w:asciiTheme="minorHAnsi" w:hAnsiTheme="minorHAnsi" w:cstheme="minorBidi"/>
          <w:color w:val="auto"/>
        </w:rPr>
        <w:t xml:space="preserve">DES (2012), </w:t>
      </w:r>
      <w:r w:rsidRPr="00476435">
        <w:rPr>
          <w:rFonts w:asciiTheme="minorHAnsi" w:hAnsiTheme="minorHAnsi" w:cstheme="minorBidi"/>
          <w:i/>
          <w:color w:val="auto"/>
        </w:rPr>
        <w:t>Projections of Full-Time Enrolment: Primary and Second Level 2012-2030</w:t>
      </w:r>
      <w:r w:rsidRPr="00476435">
        <w:rPr>
          <w:rFonts w:asciiTheme="minorHAnsi" w:hAnsiTheme="minorHAnsi" w:cstheme="minorBidi"/>
          <w:color w:val="auto"/>
        </w:rPr>
        <w:t>, Dublin: Department of Education and Skills</w:t>
      </w:r>
    </w:p>
    <w:p w14:paraId="1742E7DB" w14:textId="77777777" w:rsidR="00D750D5" w:rsidRPr="00476435" w:rsidRDefault="00D750D5" w:rsidP="00476435">
      <w:pPr>
        <w:spacing w:line="360" w:lineRule="auto"/>
        <w:rPr>
          <w:rFonts w:cs="DINPro-Light"/>
          <w:sz w:val="24"/>
          <w:szCs w:val="24"/>
        </w:rPr>
      </w:pPr>
      <w:r w:rsidRPr="00476435">
        <w:rPr>
          <w:rFonts w:cs="DINPro-Light"/>
          <w:sz w:val="24"/>
          <w:szCs w:val="24"/>
        </w:rPr>
        <w:t xml:space="preserve">DES (2014), </w:t>
      </w:r>
      <w:r w:rsidRPr="00476435">
        <w:rPr>
          <w:rFonts w:cs="DINPro-Light"/>
          <w:i/>
          <w:sz w:val="24"/>
          <w:szCs w:val="24"/>
        </w:rPr>
        <w:t>Organisation and Current Issues: briefing note to the Minister</w:t>
      </w:r>
      <w:r w:rsidRPr="00476435">
        <w:rPr>
          <w:rFonts w:cs="DINPro-Light"/>
          <w:sz w:val="24"/>
          <w:szCs w:val="24"/>
        </w:rPr>
        <w:t>, Dublin: Department of Education and Skills</w:t>
      </w:r>
    </w:p>
    <w:p w14:paraId="7CC58769" w14:textId="77777777" w:rsidR="000B70CE" w:rsidRPr="00476435" w:rsidRDefault="00B1597F" w:rsidP="00476435">
      <w:pPr>
        <w:pStyle w:val="Default"/>
        <w:spacing w:line="360" w:lineRule="auto"/>
        <w:jc w:val="both"/>
        <w:rPr>
          <w:rFonts w:asciiTheme="minorHAnsi" w:hAnsiTheme="minorHAnsi" w:cstheme="minorBidi"/>
          <w:color w:val="auto"/>
        </w:rPr>
      </w:pPr>
      <w:r>
        <w:rPr>
          <w:rFonts w:asciiTheme="minorHAnsi" w:hAnsiTheme="minorHAnsi" w:cstheme="minorBidi"/>
          <w:color w:val="auto"/>
        </w:rPr>
        <w:t>DES (2017</w:t>
      </w:r>
      <w:r w:rsidR="000B70CE" w:rsidRPr="00476435">
        <w:rPr>
          <w:rFonts w:asciiTheme="minorHAnsi" w:hAnsiTheme="minorHAnsi" w:cstheme="minorBidi"/>
          <w:color w:val="auto"/>
        </w:rPr>
        <w:t xml:space="preserve">), </w:t>
      </w:r>
      <w:r w:rsidR="000B70CE" w:rsidRPr="00476435">
        <w:rPr>
          <w:rFonts w:asciiTheme="minorHAnsi" w:hAnsiTheme="minorHAnsi" w:cstheme="minorBidi"/>
          <w:i/>
          <w:color w:val="auto"/>
        </w:rPr>
        <w:t>Projections of Full-Time Enrolment: Primary and Second Level 2017-2035</w:t>
      </w:r>
      <w:r w:rsidR="000B70CE" w:rsidRPr="00476435">
        <w:rPr>
          <w:rFonts w:asciiTheme="minorHAnsi" w:hAnsiTheme="minorHAnsi" w:cstheme="minorBidi"/>
          <w:color w:val="auto"/>
        </w:rPr>
        <w:t>, Dublin: Department of Education and Skills</w:t>
      </w:r>
    </w:p>
    <w:p w14:paraId="40E8B298" w14:textId="77777777" w:rsidR="00BE44E7" w:rsidRPr="00476435" w:rsidRDefault="00BE44E7" w:rsidP="00476435">
      <w:pPr>
        <w:spacing w:line="360" w:lineRule="auto"/>
        <w:jc w:val="both"/>
        <w:rPr>
          <w:rFonts w:cs="Arial"/>
          <w:sz w:val="24"/>
          <w:szCs w:val="24"/>
        </w:rPr>
      </w:pPr>
      <w:bookmarkStart w:id="8" w:name="_Hlk532475617"/>
      <w:r w:rsidRPr="00476435">
        <w:rPr>
          <w:sz w:val="24"/>
          <w:szCs w:val="24"/>
        </w:rPr>
        <w:t>DES (2018</w:t>
      </w:r>
      <w:r w:rsidR="00383C04" w:rsidRPr="00476435">
        <w:rPr>
          <w:sz w:val="24"/>
          <w:szCs w:val="24"/>
        </w:rPr>
        <w:t>a</w:t>
      </w:r>
      <w:r w:rsidRPr="00476435">
        <w:rPr>
          <w:sz w:val="24"/>
          <w:szCs w:val="24"/>
        </w:rPr>
        <w:t xml:space="preserve">), </w:t>
      </w:r>
      <w:r w:rsidRPr="00476435">
        <w:rPr>
          <w:i/>
          <w:sz w:val="24"/>
          <w:szCs w:val="24"/>
        </w:rPr>
        <w:t>Chief Inspector’s Report 2013-2016</w:t>
      </w:r>
      <w:r w:rsidRPr="00476435">
        <w:rPr>
          <w:sz w:val="24"/>
          <w:szCs w:val="24"/>
        </w:rPr>
        <w:t>, Dublin: Department of Education and Skills Inspectorate</w:t>
      </w:r>
      <w:r w:rsidRPr="00476435">
        <w:rPr>
          <w:rFonts w:cs="Arial"/>
          <w:sz w:val="24"/>
          <w:szCs w:val="24"/>
        </w:rPr>
        <w:t xml:space="preserve"> </w:t>
      </w:r>
    </w:p>
    <w:p w14:paraId="3A1836FA" w14:textId="77777777" w:rsidR="00383C04" w:rsidRPr="00476435" w:rsidRDefault="00383C04" w:rsidP="00476435">
      <w:pPr>
        <w:spacing w:line="360" w:lineRule="auto"/>
        <w:jc w:val="both"/>
        <w:rPr>
          <w:rFonts w:cs="Arial"/>
          <w:sz w:val="24"/>
          <w:szCs w:val="24"/>
        </w:rPr>
      </w:pPr>
      <w:bookmarkStart w:id="9" w:name="_Hlk531771345"/>
      <w:bookmarkEnd w:id="8"/>
      <w:r w:rsidRPr="00476435">
        <w:rPr>
          <w:sz w:val="24"/>
          <w:szCs w:val="24"/>
        </w:rPr>
        <w:t xml:space="preserve">DES (2018b), </w:t>
      </w:r>
      <w:r w:rsidRPr="00476435">
        <w:rPr>
          <w:i/>
          <w:sz w:val="24"/>
          <w:szCs w:val="24"/>
        </w:rPr>
        <w:t xml:space="preserve">Opening Statement to the Joint Oireachtas Committee on Education and Skills, </w:t>
      </w:r>
      <w:r w:rsidRPr="00476435">
        <w:rPr>
          <w:sz w:val="24"/>
          <w:szCs w:val="24"/>
        </w:rPr>
        <w:t>August 29</w:t>
      </w:r>
      <w:r w:rsidRPr="00476435">
        <w:rPr>
          <w:sz w:val="24"/>
          <w:szCs w:val="24"/>
          <w:vertAlign w:val="superscript"/>
        </w:rPr>
        <w:t>th</w:t>
      </w:r>
      <w:proofErr w:type="gramStart"/>
      <w:r w:rsidRPr="00476435">
        <w:rPr>
          <w:sz w:val="24"/>
          <w:szCs w:val="24"/>
        </w:rPr>
        <w:t xml:space="preserve"> 2018</w:t>
      </w:r>
      <w:proofErr w:type="gramEnd"/>
      <w:r w:rsidRPr="00476435">
        <w:rPr>
          <w:rFonts w:cs="Arial"/>
          <w:sz w:val="24"/>
          <w:szCs w:val="24"/>
        </w:rPr>
        <w:t xml:space="preserve"> </w:t>
      </w:r>
    </w:p>
    <w:bookmarkEnd w:id="9"/>
    <w:p w14:paraId="4E01F2C8" w14:textId="77777777" w:rsidR="00605718" w:rsidRPr="00476435" w:rsidRDefault="00605718" w:rsidP="00476435">
      <w:pPr>
        <w:spacing w:line="360" w:lineRule="auto"/>
        <w:jc w:val="both"/>
        <w:rPr>
          <w:rFonts w:cs="Arial"/>
          <w:sz w:val="24"/>
          <w:szCs w:val="24"/>
        </w:rPr>
      </w:pPr>
      <w:r w:rsidRPr="00476435">
        <w:rPr>
          <w:sz w:val="24"/>
          <w:szCs w:val="24"/>
        </w:rPr>
        <w:t xml:space="preserve">DES (2018c), </w:t>
      </w:r>
      <w:r w:rsidRPr="00476435">
        <w:rPr>
          <w:i/>
          <w:sz w:val="24"/>
          <w:szCs w:val="24"/>
        </w:rPr>
        <w:t>Review of Policy and Practice in Relation to Exemptions from the Study of Irish</w:t>
      </w:r>
      <w:r w:rsidRPr="00476435">
        <w:rPr>
          <w:sz w:val="24"/>
          <w:szCs w:val="24"/>
        </w:rPr>
        <w:t>, Dublin: Department of Education and Skills Inspectorate</w:t>
      </w:r>
      <w:r w:rsidRPr="00476435">
        <w:rPr>
          <w:rFonts w:cs="Arial"/>
          <w:sz w:val="24"/>
          <w:szCs w:val="24"/>
        </w:rPr>
        <w:t xml:space="preserve"> </w:t>
      </w:r>
    </w:p>
    <w:p w14:paraId="3BCBB3F4" w14:textId="77777777" w:rsidR="0089023E" w:rsidRPr="00476435" w:rsidRDefault="0089023E" w:rsidP="00476435">
      <w:pPr>
        <w:autoSpaceDE w:val="0"/>
        <w:autoSpaceDN w:val="0"/>
        <w:adjustRightInd w:val="0"/>
        <w:spacing w:after="0" w:line="360" w:lineRule="auto"/>
        <w:rPr>
          <w:rFonts w:eastAsia="BrandonGrotesque-Regular" w:cs="Arial"/>
          <w:sz w:val="24"/>
          <w:szCs w:val="24"/>
        </w:rPr>
      </w:pPr>
      <w:bookmarkStart w:id="10" w:name="_Hlk531771171"/>
      <w:r w:rsidRPr="00476435">
        <w:rPr>
          <w:rFonts w:eastAsia="BrandonGrotesque-Regular" w:cs="Arial"/>
          <w:sz w:val="24"/>
          <w:szCs w:val="24"/>
        </w:rPr>
        <w:t xml:space="preserve">EU Commission (2018), </w:t>
      </w:r>
      <w:r w:rsidRPr="00476435">
        <w:rPr>
          <w:rFonts w:eastAsia="BrandonGrotesque-Regular" w:cs="Arial"/>
          <w:i/>
          <w:sz w:val="24"/>
          <w:szCs w:val="24"/>
        </w:rPr>
        <w:t>Labour Market Policy Thematic Review 2018</w:t>
      </w:r>
      <w:r w:rsidRPr="00476435">
        <w:rPr>
          <w:rFonts w:eastAsia="BrandonGrotesque-Regular" w:cs="Arial"/>
          <w:sz w:val="24"/>
          <w:szCs w:val="24"/>
        </w:rPr>
        <w:t>, Luxembourg: Publications Office of the European Union</w:t>
      </w:r>
    </w:p>
    <w:p w14:paraId="10C3748E" w14:textId="77777777" w:rsidR="00E45461" w:rsidRPr="00476435" w:rsidRDefault="00E45461" w:rsidP="00476435">
      <w:pPr>
        <w:spacing w:line="360" w:lineRule="auto"/>
        <w:jc w:val="both"/>
        <w:rPr>
          <w:sz w:val="24"/>
          <w:szCs w:val="24"/>
        </w:rPr>
      </w:pPr>
      <w:bookmarkStart w:id="11" w:name="_Hlk531771056"/>
      <w:bookmarkEnd w:id="10"/>
      <w:r w:rsidRPr="00476435">
        <w:rPr>
          <w:rFonts w:cs="Arial"/>
          <w:sz w:val="24"/>
          <w:szCs w:val="24"/>
        </w:rPr>
        <w:lastRenderedPageBreak/>
        <w:t xml:space="preserve">EU Commission / EACEA / Eurydice (2018), </w:t>
      </w:r>
      <w:r w:rsidRPr="00476435">
        <w:rPr>
          <w:rFonts w:cs="Arial"/>
          <w:i/>
          <w:sz w:val="24"/>
          <w:szCs w:val="24"/>
        </w:rPr>
        <w:t>The European Higher Education Area in 2018: Bologna process implementation report</w:t>
      </w:r>
      <w:r w:rsidRPr="00476435">
        <w:rPr>
          <w:rFonts w:cs="Arial"/>
          <w:sz w:val="24"/>
          <w:szCs w:val="24"/>
        </w:rPr>
        <w:t>, Luxembourg: Publications Office of the European Union</w:t>
      </w:r>
      <w:bookmarkEnd w:id="11"/>
      <w:r w:rsidRPr="00476435">
        <w:rPr>
          <w:sz w:val="24"/>
          <w:szCs w:val="24"/>
        </w:rPr>
        <w:t xml:space="preserve"> </w:t>
      </w:r>
    </w:p>
    <w:p w14:paraId="355B280E" w14:textId="77777777" w:rsidR="00BE44E7" w:rsidRPr="00476435" w:rsidRDefault="00AC6DA7" w:rsidP="00476435">
      <w:pPr>
        <w:spacing w:line="360" w:lineRule="auto"/>
        <w:jc w:val="both"/>
        <w:rPr>
          <w:sz w:val="24"/>
          <w:szCs w:val="24"/>
        </w:rPr>
      </w:pPr>
      <w:r w:rsidRPr="00476435">
        <w:rPr>
          <w:sz w:val="24"/>
          <w:szCs w:val="24"/>
        </w:rPr>
        <w:t>Eurostat (2015</w:t>
      </w:r>
      <w:r w:rsidR="00BE44E7" w:rsidRPr="00476435">
        <w:rPr>
          <w:sz w:val="24"/>
          <w:szCs w:val="24"/>
        </w:rPr>
        <w:t xml:space="preserve">), </w:t>
      </w:r>
      <w:r w:rsidR="00BE44E7" w:rsidRPr="00476435">
        <w:rPr>
          <w:i/>
          <w:sz w:val="24"/>
          <w:szCs w:val="24"/>
        </w:rPr>
        <w:t>Being Young in Europe Today</w:t>
      </w:r>
      <w:r w:rsidR="00BE44E7" w:rsidRPr="00476435">
        <w:rPr>
          <w:sz w:val="24"/>
          <w:szCs w:val="24"/>
        </w:rPr>
        <w:t>, Luxembourg: Publications Office of the European Union</w:t>
      </w:r>
    </w:p>
    <w:p w14:paraId="051C6AF8" w14:textId="77777777" w:rsidR="00F95C41" w:rsidRPr="00476435" w:rsidRDefault="00BE44E7" w:rsidP="00476435">
      <w:pPr>
        <w:spacing w:line="360" w:lineRule="auto"/>
        <w:jc w:val="both"/>
        <w:rPr>
          <w:sz w:val="24"/>
          <w:szCs w:val="24"/>
        </w:rPr>
      </w:pPr>
      <w:r w:rsidRPr="00476435">
        <w:rPr>
          <w:sz w:val="24"/>
          <w:szCs w:val="24"/>
        </w:rPr>
        <w:t xml:space="preserve">Eurostat (2017), </w:t>
      </w:r>
      <w:r w:rsidRPr="00476435">
        <w:rPr>
          <w:i/>
          <w:sz w:val="24"/>
          <w:szCs w:val="24"/>
        </w:rPr>
        <w:t>Fertility Statistics</w:t>
      </w:r>
      <w:r w:rsidRPr="00476435">
        <w:rPr>
          <w:sz w:val="24"/>
          <w:szCs w:val="24"/>
        </w:rPr>
        <w:t>, Luxembourg: Publications Office of the European Union</w:t>
      </w:r>
    </w:p>
    <w:p w14:paraId="2E406351" w14:textId="77777777" w:rsidR="00DD0EF8" w:rsidRPr="00476435" w:rsidRDefault="00DD0EF8" w:rsidP="00476435">
      <w:pPr>
        <w:spacing w:line="360" w:lineRule="auto"/>
        <w:rPr>
          <w:rFonts w:cs="Arial"/>
          <w:sz w:val="24"/>
          <w:szCs w:val="24"/>
        </w:rPr>
      </w:pPr>
      <w:bookmarkStart w:id="12" w:name="_Hlk518313860"/>
      <w:r w:rsidRPr="00476435">
        <w:rPr>
          <w:rFonts w:cs="Arial"/>
          <w:sz w:val="24"/>
          <w:szCs w:val="24"/>
        </w:rPr>
        <w:t xml:space="preserve">Fischer, K. (2016), </w:t>
      </w:r>
      <w:r w:rsidRPr="00476435">
        <w:rPr>
          <w:rFonts w:cs="Arial"/>
          <w:i/>
          <w:sz w:val="24"/>
          <w:szCs w:val="24"/>
        </w:rPr>
        <w:t>Schools and the Politics of Religion and Diversity in the Republic of Ireland</w:t>
      </w:r>
      <w:r w:rsidRPr="00476435">
        <w:rPr>
          <w:rFonts w:cs="Arial"/>
          <w:sz w:val="24"/>
          <w:szCs w:val="24"/>
        </w:rPr>
        <w:t>, Manchester, UK: Manchester University Press</w:t>
      </w:r>
    </w:p>
    <w:p w14:paraId="772EEF3E" w14:textId="77777777" w:rsidR="00B1597F" w:rsidRDefault="00886F39" w:rsidP="00476435">
      <w:pPr>
        <w:spacing w:line="360" w:lineRule="auto"/>
        <w:rPr>
          <w:rFonts w:cs="Arial"/>
          <w:sz w:val="24"/>
          <w:szCs w:val="24"/>
        </w:rPr>
      </w:pPr>
      <w:r w:rsidRPr="00476435">
        <w:rPr>
          <w:rFonts w:cs="Arial"/>
          <w:sz w:val="24"/>
          <w:szCs w:val="24"/>
        </w:rPr>
        <w:t xml:space="preserve">Fullan. M. (2008), </w:t>
      </w:r>
      <w:r w:rsidRPr="00476435">
        <w:rPr>
          <w:rFonts w:cs="Arial"/>
          <w:i/>
          <w:sz w:val="24"/>
          <w:szCs w:val="24"/>
        </w:rPr>
        <w:t xml:space="preserve">What’s Worth Fighting </w:t>
      </w:r>
      <w:proofErr w:type="gramStart"/>
      <w:r w:rsidRPr="00476435">
        <w:rPr>
          <w:rFonts w:cs="Arial"/>
          <w:i/>
          <w:sz w:val="24"/>
          <w:szCs w:val="24"/>
        </w:rPr>
        <w:t>For</w:t>
      </w:r>
      <w:proofErr w:type="gramEnd"/>
      <w:r w:rsidRPr="00476435">
        <w:rPr>
          <w:rFonts w:cs="Arial"/>
          <w:i/>
          <w:sz w:val="24"/>
          <w:szCs w:val="24"/>
        </w:rPr>
        <w:t xml:space="preserve"> in Headship?</w:t>
      </w:r>
      <w:r w:rsidRPr="00476435">
        <w:rPr>
          <w:rFonts w:cs="Arial"/>
          <w:sz w:val="24"/>
          <w:szCs w:val="24"/>
        </w:rPr>
        <w:t xml:space="preserve"> London: McGraw Hill Higher Education </w:t>
      </w:r>
    </w:p>
    <w:p w14:paraId="5E9D0F0A" w14:textId="77777777" w:rsidR="005663E7" w:rsidRPr="00476435" w:rsidRDefault="005663E7" w:rsidP="00476435">
      <w:pPr>
        <w:spacing w:line="360" w:lineRule="auto"/>
        <w:jc w:val="both"/>
        <w:rPr>
          <w:rFonts w:cs="Arial"/>
          <w:sz w:val="24"/>
          <w:szCs w:val="24"/>
        </w:rPr>
      </w:pPr>
      <w:bookmarkStart w:id="13" w:name="_Hlk531770941"/>
      <w:bookmarkEnd w:id="12"/>
      <w:r w:rsidRPr="00476435">
        <w:rPr>
          <w:rFonts w:cs="Arial"/>
          <w:sz w:val="24"/>
          <w:szCs w:val="24"/>
        </w:rPr>
        <w:t xml:space="preserve">Growing Up in Ireland (2017), </w:t>
      </w:r>
      <w:r w:rsidRPr="00476435">
        <w:rPr>
          <w:rFonts w:cs="Arial"/>
          <w:i/>
          <w:sz w:val="24"/>
          <w:szCs w:val="24"/>
        </w:rPr>
        <w:t>Key Findings: Infant cohort at 7/8 years, School and learning</w:t>
      </w:r>
      <w:r w:rsidRPr="00476435">
        <w:rPr>
          <w:rFonts w:cs="Arial"/>
          <w:sz w:val="24"/>
          <w:szCs w:val="24"/>
        </w:rPr>
        <w:t xml:space="preserve">, Dublin: ESRI </w:t>
      </w:r>
    </w:p>
    <w:bookmarkEnd w:id="13"/>
    <w:p w14:paraId="51B31A9A" w14:textId="0FC0EB6C" w:rsidR="00D077AC" w:rsidRPr="00476435" w:rsidRDefault="00D077AC" w:rsidP="00D077AC">
      <w:pPr>
        <w:spacing w:line="360" w:lineRule="auto"/>
        <w:jc w:val="both"/>
        <w:rPr>
          <w:rFonts w:cs="Arial"/>
          <w:sz w:val="24"/>
          <w:szCs w:val="24"/>
        </w:rPr>
      </w:pPr>
      <w:r>
        <w:rPr>
          <w:rFonts w:cs="Arial"/>
          <w:sz w:val="24"/>
          <w:szCs w:val="24"/>
        </w:rPr>
        <w:t>Growing Up in Ireland (2018</w:t>
      </w:r>
      <w:r w:rsidRPr="00476435">
        <w:rPr>
          <w:rFonts w:cs="Arial"/>
          <w:sz w:val="24"/>
          <w:szCs w:val="24"/>
        </w:rPr>
        <w:t xml:space="preserve">), </w:t>
      </w:r>
      <w:r>
        <w:rPr>
          <w:rFonts w:cs="Arial"/>
          <w:i/>
          <w:sz w:val="24"/>
          <w:szCs w:val="24"/>
        </w:rPr>
        <w:t>The Lives of 13-year-olds</w:t>
      </w:r>
      <w:r w:rsidRPr="00476435">
        <w:rPr>
          <w:rFonts w:cs="Arial"/>
          <w:sz w:val="24"/>
          <w:szCs w:val="24"/>
        </w:rPr>
        <w:t xml:space="preserve">, Dublin: ESRI </w:t>
      </w:r>
    </w:p>
    <w:p w14:paraId="4A56D3AA" w14:textId="77777777" w:rsidR="005663E7" w:rsidRPr="00476435" w:rsidRDefault="005663E7" w:rsidP="00476435">
      <w:pPr>
        <w:spacing w:line="360" w:lineRule="auto"/>
        <w:jc w:val="both"/>
        <w:rPr>
          <w:sz w:val="24"/>
          <w:szCs w:val="24"/>
        </w:rPr>
      </w:pPr>
      <w:r w:rsidRPr="00476435">
        <w:rPr>
          <w:sz w:val="24"/>
          <w:szCs w:val="24"/>
        </w:rPr>
        <w:t xml:space="preserve">Growing Up in Scotland (2012), </w:t>
      </w:r>
      <w:r w:rsidRPr="00476435">
        <w:rPr>
          <w:i/>
          <w:sz w:val="24"/>
          <w:szCs w:val="24"/>
        </w:rPr>
        <w:t>Early Experiences of Primary School</w:t>
      </w:r>
    </w:p>
    <w:p w14:paraId="00030338" w14:textId="77777777" w:rsidR="00B275A3" w:rsidRPr="00476435" w:rsidRDefault="00B275A3" w:rsidP="00476435">
      <w:pPr>
        <w:autoSpaceDE w:val="0"/>
        <w:autoSpaceDN w:val="0"/>
        <w:adjustRightInd w:val="0"/>
        <w:spacing w:after="0" w:line="360" w:lineRule="auto"/>
        <w:jc w:val="both"/>
        <w:rPr>
          <w:rFonts w:cs="Arial"/>
          <w:sz w:val="24"/>
          <w:szCs w:val="24"/>
        </w:rPr>
      </w:pPr>
      <w:r w:rsidRPr="00476435">
        <w:rPr>
          <w:rFonts w:cs="Arial"/>
          <w:sz w:val="24"/>
          <w:szCs w:val="24"/>
        </w:rPr>
        <w:t xml:space="preserve">Impact (2015), </w:t>
      </w:r>
      <w:r w:rsidRPr="00476435">
        <w:rPr>
          <w:rFonts w:cs="Arial"/>
          <w:i/>
          <w:sz w:val="24"/>
          <w:szCs w:val="24"/>
        </w:rPr>
        <w:t>The Way Forward, A school psychological service for all children and young people</w:t>
      </w:r>
      <w:r w:rsidRPr="00476435">
        <w:rPr>
          <w:rFonts w:cs="Arial"/>
          <w:sz w:val="24"/>
          <w:szCs w:val="24"/>
        </w:rPr>
        <w:t>, Dublin: Impact</w:t>
      </w:r>
    </w:p>
    <w:p w14:paraId="0E9F2262" w14:textId="77777777" w:rsidR="00B275A3" w:rsidRPr="00476435" w:rsidRDefault="00B275A3" w:rsidP="00476435">
      <w:pPr>
        <w:autoSpaceDE w:val="0"/>
        <w:autoSpaceDN w:val="0"/>
        <w:adjustRightInd w:val="0"/>
        <w:spacing w:after="0" w:line="360" w:lineRule="auto"/>
        <w:jc w:val="both"/>
        <w:rPr>
          <w:rFonts w:cs="Arial"/>
          <w:sz w:val="24"/>
          <w:szCs w:val="24"/>
        </w:rPr>
      </w:pPr>
      <w:r w:rsidRPr="00476435">
        <w:rPr>
          <w:rFonts w:cs="Arial"/>
          <w:sz w:val="24"/>
          <w:szCs w:val="24"/>
        </w:rPr>
        <w:t xml:space="preserve">Jimerson, S. R., Stewart, K., </w:t>
      </w:r>
      <w:proofErr w:type="spellStart"/>
      <w:r w:rsidRPr="00476435">
        <w:rPr>
          <w:rFonts w:cs="Arial"/>
          <w:sz w:val="24"/>
          <w:szCs w:val="24"/>
        </w:rPr>
        <w:t>Skokut</w:t>
      </w:r>
      <w:proofErr w:type="spellEnd"/>
      <w:r w:rsidRPr="00476435">
        <w:rPr>
          <w:rFonts w:cs="Arial"/>
          <w:sz w:val="24"/>
          <w:szCs w:val="24"/>
        </w:rPr>
        <w:t xml:space="preserve">, M., Cardenas, S &amp; Malone, H. (2009), “How Many Psychologists are there in Each Country of the World? International estimates of </w:t>
      </w:r>
      <w:r w:rsidR="00AC068A" w:rsidRPr="00476435">
        <w:rPr>
          <w:rFonts w:cs="Arial"/>
          <w:sz w:val="24"/>
          <w:szCs w:val="24"/>
        </w:rPr>
        <w:t>school psychologists and school</w:t>
      </w:r>
      <w:r w:rsidRPr="00476435">
        <w:rPr>
          <w:rFonts w:cs="Arial"/>
          <w:sz w:val="24"/>
          <w:szCs w:val="24"/>
        </w:rPr>
        <w:t xml:space="preserve"> psychologist to student ratios”, </w:t>
      </w:r>
      <w:r w:rsidRPr="00476435">
        <w:rPr>
          <w:rFonts w:cs="Arial"/>
          <w:i/>
          <w:sz w:val="24"/>
          <w:szCs w:val="24"/>
        </w:rPr>
        <w:t>School Psychology International</w:t>
      </w:r>
      <w:r w:rsidRPr="00476435">
        <w:rPr>
          <w:rFonts w:cs="Arial"/>
          <w:sz w:val="24"/>
          <w:szCs w:val="24"/>
        </w:rPr>
        <w:t>, 30, 555-567</w:t>
      </w:r>
    </w:p>
    <w:p w14:paraId="09F6D56F" w14:textId="77777777" w:rsidR="00383C04" w:rsidRPr="00476435" w:rsidRDefault="00383C04" w:rsidP="00476435">
      <w:pPr>
        <w:autoSpaceDE w:val="0"/>
        <w:autoSpaceDN w:val="0"/>
        <w:adjustRightInd w:val="0"/>
        <w:spacing w:after="0" w:line="360" w:lineRule="auto"/>
        <w:jc w:val="both"/>
        <w:rPr>
          <w:rFonts w:cs="Arial"/>
          <w:sz w:val="24"/>
          <w:szCs w:val="24"/>
        </w:rPr>
      </w:pPr>
      <w:r w:rsidRPr="00476435">
        <w:rPr>
          <w:rFonts w:cs="Arial"/>
          <w:sz w:val="24"/>
          <w:szCs w:val="24"/>
        </w:rPr>
        <w:t xml:space="preserve">Kantar Millward Brown (2018), </w:t>
      </w:r>
      <w:r w:rsidRPr="00476435">
        <w:rPr>
          <w:rFonts w:cs="Arial"/>
          <w:i/>
          <w:sz w:val="24"/>
          <w:szCs w:val="24"/>
        </w:rPr>
        <w:t>Our Faith in Institutions</w:t>
      </w:r>
      <w:r w:rsidRPr="00476435">
        <w:rPr>
          <w:rFonts w:cs="Arial"/>
          <w:sz w:val="24"/>
          <w:szCs w:val="24"/>
        </w:rPr>
        <w:t>, Dublin: Kantar Millward Brown</w:t>
      </w:r>
    </w:p>
    <w:p w14:paraId="5D66BDBB" w14:textId="77777777" w:rsidR="004B21D7" w:rsidRPr="00476435" w:rsidRDefault="00F95C41" w:rsidP="00476435">
      <w:pPr>
        <w:spacing w:line="360" w:lineRule="auto"/>
        <w:jc w:val="both"/>
        <w:rPr>
          <w:sz w:val="24"/>
          <w:szCs w:val="24"/>
        </w:rPr>
      </w:pPr>
      <w:r w:rsidRPr="00476435">
        <w:rPr>
          <w:sz w:val="24"/>
          <w:szCs w:val="24"/>
        </w:rPr>
        <w:t>NCSE (2014</w:t>
      </w:r>
      <w:r w:rsidR="004B21D7" w:rsidRPr="00476435">
        <w:rPr>
          <w:sz w:val="24"/>
          <w:szCs w:val="24"/>
        </w:rPr>
        <w:t xml:space="preserve">), </w:t>
      </w:r>
      <w:r w:rsidR="00632D41" w:rsidRPr="00476435">
        <w:rPr>
          <w:rFonts w:cs="Arial"/>
          <w:i/>
          <w:sz w:val="24"/>
          <w:szCs w:val="24"/>
        </w:rPr>
        <w:t>Delivery for Students with Special Educational Needs</w:t>
      </w:r>
      <w:r w:rsidR="00632D41" w:rsidRPr="00476435">
        <w:rPr>
          <w:rFonts w:cs="Arial"/>
          <w:sz w:val="24"/>
          <w:szCs w:val="24"/>
        </w:rPr>
        <w:t>, Trim: National Council for Special Education</w:t>
      </w:r>
    </w:p>
    <w:p w14:paraId="49898C2E" w14:textId="77777777" w:rsidR="00B31A73" w:rsidRPr="00476435" w:rsidRDefault="00B31A73" w:rsidP="00476435">
      <w:pPr>
        <w:spacing w:line="360" w:lineRule="auto"/>
        <w:rPr>
          <w:rFonts w:cs="Arial"/>
          <w:sz w:val="24"/>
          <w:szCs w:val="24"/>
          <w:lang w:val="en-US"/>
        </w:rPr>
      </w:pPr>
      <w:r w:rsidRPr="00476435">
        <w:rPr>
          <w:rFonts w:cs="Arial"/>
          <w:sz w:val="24"/>
          <w:szCs w:val="24"/>
        </w:rPr>
        <w:t xml:space="preserve">NERI (2018), </w:t>
      </w:r>
      <w:r w:rsidRPr="00476435">
        <w:rPr>
          <w:rFonts w:cs="Arial"/>
          <w:i/>
          <w:sz w:val="24"/>
          <w:szCs w:val="24"/>
        </w:rPr>
        <w:t>Quarterly Economic Observer, Summer 2018</w:t>
      </w:r>
      <w:r w:rsidRPr="00476435">
        <w:rPr>
          <w:rFonts w:cs="Arial"/>
          <w:sz w:val="24"/>
          <w:szCs w:val="24"/>
        </w:rPr>
        <w:t>, Dublin: Nevin Economic Research Institute</w:t>
      </w:r>
      <w:r w:rsidRPr="00476435">
        <w:rPr>
          <w:rFonts w:cs="Arial"/>
          <w:sz w:val="24"/>
          <w:szCs w:val="24"/>
          <w:lang w:val="en-US"/>
        </w:rPr>
        <w:t xml:space="preserve"> </w:t>
      </w:r>
    </w:p>
    <w:p w14:paraId="3CD3AFC1" w14:textId="77777777" w:rsidR="007D7C35" w:rsidRPr="00476435" w:rsidRDefault="007D7C35" w:rsidP="00476435">
      <w:pPr>
        <w:spacing w:after="200" w:line="360" w:lineRule="auto"/>
        <w:jc w:val="both"/>
        <w:rPr>
          <w:sz w:val="24"/>
          <w:szCs w:val="24"/>
        </w:rPr>
      </w:pPr>
      <w:r w:rsidRPr="00476435">
        <w:rPr>
          <w:rFonts w:cs="Arial"/>
          <w:color w:val="000000"/>
          <w:sz w:val="24"/>
          <w:szCs w:val="24"/>
        </w:rPr>
        <w:t xml:space="preserve">OCO (2018), </w:t>
      </w:r>
      <w:r w:rsidRPr="00476435">
        <w:rPr>
          <w:rFonts w:cs="Arial"/>
          <w:i/>
          <w:color w:val="000000"/>
          <w:sz w:val="24"/>
          <w:szCs w:val="24"/>
        </w:rPr>
        <w:t>Annual Report 2017</w:t>
      </w:r>
      <w:r w:rsidRPr="00476435">
        <w:rPr>
          <w:rFonts w:cs="Arial"/>
          <w:color w:val="000000"/>
          <w:sz w:val="24"/>
          <w:szCs w:val="24"/>
        </w:rPr>
        <w:t>, Dublin: Ombudsman for Children’s Office</w:t>
      </w:r>
      <w:r w:rsidRPr="00476435">
        <w:rPr>
          <w:sz w:val="24"/>
          <w:szCs w:val="24"/>
        </w:rPr>
        <w:t xml:space="preserve"> </w:t>
      </w:r>
    </w:p>
    <w:p w14:paraId="200A604C" w14:textId="77777777" w:rsidR="005663E7" w:rsidRPr="00476435" w:rsidRDefault="005663E7" w:rsidP="00476435">
      <w:pPr>
        <w:spacing w:after="200" w:line="360" w:lineRule="auto"/>
        <w:jc w:val="both"/>
        <w:rPr>
          <w:sz w:val="24"/>
          <w:szCs w:val="24"/>
        </w:rPr>
      </w:pPr>
      <w:r w:rsidRPr="00476435">
        <w:rPr>
          <w:sz w:val="24"/>
          <w:szCs w:val="24"/>
        </w:rPr>
        <w:lastRenderedPageBreak/>
        <w:t xml:space="preserve">OECD (2009), </w:t>
      </w:r>
      <w:r w:rsidRPr="00476435">
        <w:rPr>
          <w:i/>
          <w:sz w:val="24"/>
          <w:szCs w:val="24"/>
        </w:rPr>
        <w:t>Education at a Glance</w:t>
      </w:r>
      <w:r w:rsidRPr="00476435">
        <w:rPr>
          <w:sz w:val="24"/>
          <w:szCs w:val="24"/>
        </w:rPr>
        <w:t xml:space="preserve">, Paris: Organisation for Economic Co-operation and Development </w:t>
      </w:r>
    </w:p>
    <w:p w14:paraId="491D0DA3" w14:textId="77777777" w:rsidR="005663E7" w:rsidRPr="00476435" w:rsidRDefault="005663E7" w:rsidP="00476435">
      <w:pPr>
        <w:spacing w:after="200" w:line="360" w:lineRule="auto"/>
        <w:jc w:val="both"/>
        <w:rPr>
          <w:sz w:val="24"/>
          <w:szCs w:val="24"/>
        </w:rPr>
      </w:pPr>
      <w:r w:rsidRPr="00476435">
        <w:rPr>
          <w:sz w:val="24"/>
          <w:szCs w:val="24"/>
        </w:rPr>
        <w:t xml:space="preserve">OECD (2013), </w:t>
      </w:r>
      <w:r w:rsidRPr="00476435">
        <w:rPr>
          <w:i/>
          <w:sz w:val="24"/>
          <w:szCs w:val="24"/>
        </w:rPr>
        <w:t>Education at a Glance</w:t>
      </w:r>
      <w:r w:rsidRPr="00476435">
        <w:rPr>
          <w:sz w:val="24"/>
          <w:szCs w:val="24"/>
        </w:rPr>
        <w:t xml:space="preserve">, Paris: Organisation for Economic Co-operation and Development </w:t>
      </w:r>
    </w:p>
    <w:p w14:paraId="7AA111BC" w14:textId="77777777" w:rsidR="00507252" w:rsidRPr="00476435" w:rsidRDefault="00507252" w:rsidP="00476435">
      <w:pPr>
        <w:spacing w:line="360" w:lineRule="auto"/>
        <w:jc w:val="both"/>
        <w:rPr>
          <w:rFonts w:cs="Arial"/>
          <w:sz w:val="24"/>
          <w:szCs w:val="24"/>
        </w:rPr>
      </w:pPr>
      <w:bookmarkStart w:id="14" w:name="_Hlk517856986"/>
      <w:r w:rsidRPr="00476435">
        <w:rPr>
          <w:rFonts w:cs="Arial"/>
          <w:sz w:val="24"/>
          <w:szCs w:val="24"/>
        </w:rPr>
        <w:t xml:space="preserve">OECD (2015a), </w:t>
      </w:r>
      <w:r w:rsidRPr="00476435">
        <w:rPr>
          <w:rFonts w:cs="Arial"/>
          <w:i/>
          <w:sz w:val="24"/>
          <w:szCs w:val="24"/>
        </w:rPr>
        <w:t>Government at a Glance 2015</w:t>
      </w:r>
      <w:r w:rsidRPr="00476435">
        <w:rPr>
          <w:rFonts w:cs="Arial"/>
          <w:sz w:val="24"/>
          <w:szCs w:val="24"/>
        </w:rPr>
        <w:t xml:space="preserve">, Paris: OECD Publishing </w:t>
      </w:r>
    </w:p>
    <w:p w14:paraId="10324C3D" w14:textId="77777777" w:rsidR="005663E7" w:rsidRPr="00476435" w:rsidRDefault="005663E7" w:rsidP="00476435">
      <w:pPr>
        <w:spacing w:line="360" w:lineRule="auto"/>
        <w:jc w:val="both"/>
        <w:rPr>
          <w:rFonts w:cs="Arial"/>
          <w:sz w:val="24"/>
          <w:szCs w:val="24"/>
        </w:rPr>
      </w:pPr>
      <w:bookmarkStart w:id="15" w:name="_Hlk531771263"/>
      <w:r w:rsidRPr="00476435">
        <w:rPr>
          <w:rFonts w:cs="Arial"/>
          <w:sz w:val="24"/>
          <w:szCs w:val="24"/>
        </w:rPr>
        <w:t>OECD (2015</w:t>
      </w:r>
      <w:r w:rsidR="00507252" w:rsidRPr="00476435">
        <w:rPr>
          <w:rFonts w:cs="Arial"/>
          <w:sz w:val="24"/>
          <w:szCs w:val="24"/>
        </w:rPr>
        <w:t>b</w:t>
      </w:r>
      <w:r w:rsidRPr="00476435">
        <w:rPr>
          <w:rFonts w:cs="Arial"/>
          <w:sz w:val="24"/>
          <w:szCs w:val="24"/>
        </w:rPr>
        <w:t xml:space="preserve">), </w:t>
      </w:r>
      <w:r w:rsidRPr="00476435">
        <w:rPr>
          <w:rFonts w:cs="Arial"/>
          <w:i/>
          <w:sz w:val="24"/>
          <w:szCs w:val="24"/>
        </w:rPr>
        <w:t>Education at a Glance 2015</w:t>
      </w:r>
      <w:r w:rsidRPr="00476435">
        <w:rPr>
          <w:rFonts w:cs="Arial"/>
          <w:sz w:val="24"/>
          <w:szCs w:val="24"/>
        </w:rPr>
        <w:t>, Paris: OECD Publishing</w:t>
      </w:r>
      <w:bookmarkEnd w:id="14"/>
    </w:p>
    <w:bookmarkEnd w:id="15"/>
    <w:p w14:paraId="74A38C36" w14:textId="77777777" w:rsidR="005A5019" w:rsidRPr="00476435" w:rsidRDefault="00A04C74" w:rsidP="00476435">
      <w:pPr>
        <w:spacing w:after="0" w:line="360" w:lineRule="auto"/>
        <w:jc w:val="both"/>
        <w:rPr>
          <w:rFonts w:cs="Arial"/>
          <w:sz w:val="24"/>
          <w:szCs w:val="24"/>
        </w:rPr>
      </w:pPr>
      <w:r>
        <w:rPr>
          <w:rFonts w:cs="Arial"/>
          <w:sz w:val="24"/>
          <w:szCs w:val="24"/>
        </w:rPr>
        <w:t>OECD (2017</w:t>
      </w:r>
      <w:r w:rsidR="005A5019" w:rsidRPr="00476435">
        <w:rPr>
          <w:rFonts w:cs="Arial"/>
          <w:sz w:val="24"/>
          <w:szCs w:val="24"/>
        </w:rPr>
        <w:t xml:space="preserve">), </w:t>
      </w:r>
      <w:r w:rsidR="005A5019" w:rsidRPr="00476435">
        <w:rPr>
          <w:rFonts w:cs="Arial"/>
          <w:i/>
          <w:sz w:val="24"/>
          <w:szCs w:val="24"/>
        </w:rPr>
        <w:t>PISA 2015 Results (Volume 3): Students’ Well-Being</w:t>
      </w:r>
      <w:r w:rsidR="005A5019" w:rsidRPr="00476435">
        <w:rPr>
          <w:rFonts w:cs="Arial"/>
          <w:sz w:val="24"/>
          <w:szCs w:val="24"/>
        </w:rPr>
        <w:t>, Paris:  OECD Publishing</w:t>
      </w:r>
    </w:p>
    <w:p w14:paraId="4146DB78" w14:textId="77777777" w:rsidR="002A70E5" w:rsidRPr="00476435" w:rsidRDefault="002A70E5" w:rsidP="00476435">
      <w:pPr>
        <w:autoSpaceDE w:val="0"/>
        <w:autoSpaceDN w:val="0"/>
        <w:adjustRightInd w:val="0"/>
        <w:spacing w:after="0" w:line="360" w:lineRule="auto"/>
        <w:rPr>
          <w:rFonts w:cs="Arial"/>
          <w:sz w:val="24"/>
          <w:szCs w:val="24"/>
        </w:rPr>
      </w:pPr>
      <w:r w:rsidRPr="00476435">
        <w:rPr>
          <w:rFonts w:cs="Arial"/>
          <w:sz w:val="24"/>
          <w:szCs w:val="24"/>
        </w:rPr>
        <w:t xml:space="preserve">Oireachtas (2018), </w:t>
      </w:r>
      <w:r w:rsidRPr="00476435">
        <w:rPr>
          <w:rFonts w:cs="Arial"/>
          <w:i/>
          <w:sz w:val="24"/>
          <w:szCs w:val="24"/>
        </w:rPr>
        <w:t xml:space="preserve">Final Report, Joint </w:t>
      </w:r>
      <w:proofErr w:type="spellStart"/>
      <w:r w:rsidRPr="00476435">
        <w:rPr>
          <w:rFonts w:cs="Arial"/>
          <w:i/>
          <w:sz w:val="24"/>
          <w:szCs w:val="24"/>
        </w:rPr>
        <w:t>Committtee</w:t>
      </w:r>
      <w:proofErr w:type="spellEnd"/>
      <w:r w:rsidRPr="00476435">
        <w:rPr>
          <w:rFonts w:cs="Arial"/>
          <w:i/>
          <w:sz w:val="24"/>
          <w:szCs w:val="24"/>
        </w:rPr>
        <w:t xml:space="preserve"> on the Future of Mental Health Care</w:t>
      </w:r>
      <w:r w:rsidRPr="00476435">
        <w:rPr>
          <w:rFonts w:cs="Arial"/>
          <w:sz w:val="24"/>
          <w:szCs w:val="24"/>
        </w:rPr>
        <w:t xml:space="preserve">, Dublin: Oireachtas </w:t>
      </w:r>
    </w:p>
    <w:p w14:paraId="565E5B24" w14:textId="77777777" w:rsidR="00FC73A7" w:rsidRPr="00476435" w:rsidRDefault="00FC73A7" w:rsidP="00476435">
      <w:pPr>
        <w:autoSpaceDE w:val="0"/>
        <w:autoSpaceDN w:val="0"/>
        <w:adjustRightInd w:val="0"/>
        <w:spacing w:after="0" w:line="360" w:lineRule="auto"/>
        <w:rPr>
          <w:rFonts w:cs="Arial"/>
          <w:color w:val="000000"/>
          <w:sz w:val="24"/>
          <w:szCs w:val="24"/>
        </w:rPr>
      </w:pPr>
      <w:bookmarkStart w:id="16" w:name="_Hlk531771019"/>
      <w:r w:rsidRPr="00476435">
        <w:rPr>
          <w:rFonts w:cs="Arial"/>
          <w:sz w:val="24"/>
          <w:szCs w:val="24"/>
        </w:rPr>
        <w:t xml:space="preserve">Scanlon, G. &amp; McKenna, G. (2018), </w:t>
      </w:r>
      <w:r w:rsidRPr="00476435">
        <w:rPr>
          <w:rFonts w:cs="Arial"/>
          <w:i/>
          <w:sz w:val="24"/>
          <w:szCs w:val="24"/>
        </w:rPr>
        <w:t>Home Works: A study on the educational needs of children experiencing homelessness and living in emergency accommodation</w:t>
      </w:r>
      <w:r w:rsidRPr="00476435">
        <w:rPr>
          <w:rFonts w:cs="Arial"/>
          <w:sz w:val="24"/>
          <w:szCs w:val="24"/>
        </w:rPr>
        <w:t>, Dublin: Children’s Rights Alliance</w:t>
      </w:r>
      <w:r w:rsidRPr="00476435">
        <w:rPr>
          <w:rFonts w:cs="Arial"/>
          <w:color w:val="000000"/>
          <w:sz w:val="24"/>
          <w:szCs w:val="24"/>
        </w:rPr>
        <w:t xml:space="preserve"> </w:t>
      </w:r>
    </w:p>
    <w:p w14:paraId="7CDB5807" w14:textId="77777777" w:rsidR="005E23A3" w:rsidRPr="00476435" w:rsidRDefault="005E23A3" w:rsidP="00476435">
      <w:pPr>
        <w:autoSpaceDE w:val="0"/>
        <w:autoSpaceDN w:val="0"/>
        <w:adjustRightInd w:val="0"/>
        <w:spacing w:after="0" w:line="360" w:lineRule="auto"/>
        <w:rPr>
          <w:rFonts w:cs="Arial"/>
          <w:color w:val="000000"/>
          <w:sz w:val="24"/>
          <w:szCs w:val="24"/>
        </w:rPr>
      </w:pPr>
      <w:bookmarkStart w:id="17" w:name="_Hlk531771307"/>
      <w:bookmarkEnd w:id="16"/>
      <w:r w:rsidRPr="00476435">
        <w:rPr>
          <w:rFonts w:cs="Arial"/>
          <w:color w:val="000000"/>
          <w:sz w:val="24"/>
          <w:szCs w:val="24"/>
        </w:rPr>
        <w:t xml:space="preserve">SJI (2018), </w:t>
      </w:r>
      <w:r w:rsidRPr="00476435">
        <w:rPr>
          <w:rFonts w:cs="Arial"/>
          <w:i/>
          <w:color w:val="000000"/>
          <w:sz w:val="24"/>
          <w:szCs w:val="24"/>
        </w:rPr>
        <w:t>Poverty Focus 2018</w:t>
      </w:r>
      <w:r w:rsidRPr="00476435">
        <w:rPr>
          <w:rFonts w:cs="Arial"/>
          <w:color w:val="000000"/>
          <w:sz w:val="24"/>
          <w:szCs w:val="24"/>
        </w:rPr>
        <w:t>, Dublin: Social Justice Ireland</w:t>
      </w:r>
    </w:p>
    <w:p w14:paraId="05CD1096" w14:textId="77777777" w:rsidR="00C570F1" w:rsidRPr="00476435" w:rsidRDefault="00C570F1" w:rsidP="00476435">
      <w:pPr>
        <w:spacing w:line="360" w:lineRule="auto"/>
        <w:rPr>
          <w:rFonts w:cs="Arial"/>
          <w:sz w:val="24"/>
          <w:szCs w:val="24"/>
        </w:rPr>
      </w:pPr>
      <w:bookmarkStart w:id="18" w:name="_Hlk531771085"/>
      <w:bookmarkEnd w:id="17"/>
      <w:r w:rsidRPr="00476435">
        <w:rPr>
          <w:rFonts w:cs="Arial"/>
          <w:sz w:val="24"/>
          <w:szCs w:val="24"/>
        </w:rPr>
        <w:t xml:space="preserve">Social Progress Initiative (2018), </w:t>
      </w:r>
      <w:r w:rsidRPr="00476435">
        <w:rPr>
          <w:rFonts w:cs="Arial"/>
          <w:i/>
          <w:sz w:val="24"/>
          <w:szCs w:val="24"/>
        </w:rPr>
        <w:t>Social Progress Index 2018</w:t>
      </w:r>
      <w:r w:rsidRPr="00476435">
        <w:rPr>
          <w:rFonts w:cs="Arial"/>
          <w:sz w:val="24"/>
          <w:szCs w:val="24"/>
        </w:rPr>
        <w:t>, Washington DC, USA: Social Progress Imperative</w:t>
      </w:r>
    </w:p>
    <w:bookmarkEnd w:id="18"/>
    <w:p w14:paraId="7BEC8963" w14:textId="7416D8CD" w:rsidR="00F67C98" w:rsidRDefault="00F67C98" w:rsidP="00476435">
      <w:pPr>
        <w:spacing w:line="360" w:lineRule="auto"/>
        <w:jc w:val="both"/>
        <w:rPr>
          <w:rFonts w:cs="Arial"/>
          <w:sz w:val="24"/>
          <w:szCs w:val="24"/>
        </w:rPr>
      </w:pPr>
      <w:r>
        <w:rPr>
          <w:rFonts w:cs="Arial"/>
          <w:sz w:val="24"/>
          <w:szCs w:val="24"/>
        </w:rPr>
        <w:t xml:space="preserve">Sparks, R. (2009), “If you don’t know where you’re going, you’ll wind up somewhere else: the case of foreign language learning disability, </w:t>
      </w:r>
      <w:r w:rsidRPr="00F67C98">
        <w:rPr>
          <w:rFonts w:cs="Arial"/>
          <w:i/>
          <w:sz w:val="24"/>
          <w:szCs w:val="24"/>
        </w:rPr>
        <w:t>Foreign Language Annals</w:t>
      </w:r>
      <w:r>
        <w:rPr>
          <w:rFonts w:cs="Arial"/>
          <w:sz w:val="24"/>
          <w:szCs w:val="24"/>
        </w:rPr>
        <w:t>, 42 (1), 7-26</w:t>
      </w:r>
    </w:p>
    <w:p w14:paraId="7CDEDF67" w14:textId="7CD98660" w:rsidR="00A52D27" w:rsidRDefault="00A52D27" w:rsidP="00A52D27">
      <w:pPr>
        <w:spacing w:line="360" w:lineRule="auto"/>
        <w:jc w:val="both"/>
        <w:rPr>
          <w:rFonts w:cs="Arial"/>
          <w:sz w:val="24"/>
          <w:szCs w:val="24"/>
        </w:rPr>
      </w:pPr>
      <w:r>
        <w:rPr>
          <w:rFonts w:cs="Arial"/>
          <w:sz w:val="24"/>
          <w:szCs w:val="24"/>
        </w:rPr>
        <w:t xml:space="preserve">Sparks, R. (2016), “Myths about foreign language learning and learning disabilities”, </w:t>
      </w:r>
      <w:r w:rsidRPr="00F67C98">
        <w:rPr>
          <w:rFonts w:cs="Arial"/>
          <w:i/>
          <w:sz w:val="24"/>
          <w:szCs w:val="24"/>
        </w:rPr>
        <w:t>Foreign Language Annals</w:t>
      </w:r>
      <w:r>
        <w:rPr>
          <w:rFonts w:cs="Arial"/>
          <w:sz w:val="24"/>
          <w:szCs w:val="24"/>
        </w:rPr>
        <w:t>, 49 (2), 252-270</w:t>
      </w:r>
    </w:p>
    <w:p w14:paraId="270210B4" w14:textId="635CD88D" w:rsidR="005663E7" w:rsidRPr="00476435" w:rsidRDefault="005663E7" w:rsidP="00476435">
      <w:pPr>
        <w:spacing w:line="360" w:lineRule="auto"/>
        <w:jc w:val="both"/>
        <w:rPr>
          <w:sz w:val="24"/>
          <w:szCs w:val="24"/>
        </w:rPr>
      </w:pPr>
      <w:r w:rsidRPr="00476435">
        <w:rPr>
          <w:rFonts w:cs="Arial"/>
          <w:sz w:val="24"/>
          <w:szCs w:val="24"/>
        </w:rPr>
        <w:t xml:space="preserve">Teaching Council (2010), </w:t>
      </w:r>
      <w:r w:rsidRPr="00476435">
        <w:rPr>
          <w:rFonts w:cs="Arial"/>
          <w:i/>
          <w:sz w:val="24"/>
          <w:szCs w:val="24"/>
        </w:rPr>
        <w:t>Evaluation of Public Attitudes to the Teaching Profession</w:t>
      </w:r>
      <w:r w:rsidRPr="00476435">
        <w:rPr>
          <w:rFonts w:cs="Arial"/>
          <w:sz w:val="24"/>
          <w:szCs w:val="24"/>
        </w:rPr>
        <w:t>, Maynooth: Teaching Council</w:t>
      </w:r>
    </w:p>
    <w:p w14:paraId="15478470" w14:textId="77777777" w:rsidR="009D77E5" w:rsidRPr="00476435" w:rsidRDefault="009D77E5" w:rsidP="00476435">
      <w:pPr>
        <w:spacing w:line="360" w:lineRule="auto"/>
        <w:jc w:val="both"/>
        <w:rPr>
          <w:sz w:val="24"/>
          <w:szCs w:val="24"/>
        </w:rPr>
      </w:pPr>
      <w:r w:rsidRPr="00476435">
        <w:rPr>
          <w:sz w:val="24"/>
          <w:szCs w:val="24"/>
        </w:rPr>
        <w:t xml:space="preserve">TUI (2006), </w:t>
      </w:r>
      <w:r w:rsidRPr="00476435">
        <w:rPr>
          <w:i/>
          <w:sz w:val="24"/>
          <w:szCs w:val="24"/>
        </w:rPr>
        <w:t>Submission to the Department of Education on the Implementation of the Education for Persons with Special Educational Needs Act, 2004</w:t>
      </w:r>
      <w:r w:rsidRPr="00476435">
        <w:rPr>
          <w:sz w:val="24"/>
          <w:szCs w:val="24"/>
        </w:rPr>
        <w:t>, Dublin: Teachers’ Union of Ireland</w:t>
      </w:r>
    </w:p>
    <w:p w14:paraId="73B07541" w14:textId="77777777" w:rsidR="009D40FE" w:rsidRPr="00476435" w:rsidRDefault="009D40FE" w:rsidP="00476435">
      <w:pPr>
        <w:spacing w:line="360" w:lineRule="auto"/>
        <w:jc w:val="both"/>
        <w:rPr>
          <w:rFonts w:cs="Arial"/>
          <w:sz w:val="24"/>
          <w:szCs w:val="24"/>
        </w:rPr>
      </w:pPr>
      <w:r w:rsidRPr="00476435">
        <w:rPr>
          <w:rFonts w:cs="Arial"/>
          <w:sz w:val="24"/>
          <w:szCs w:val="24"/>
        </w:rPr>
        <w:t xml:space="preserve">TUSLA (2018), </w:t>
      </w:r>
      <w:r w:rsidRPr="00476435">
        <w:rPr>
          <w:rFonts w:cs="Arial"/>
          <w:i/>
          <w:sz w:val="24"/>
          <w:szCs w:val="24"/>
        </w:rPr>
        <w:t>Corporate Plan 2018-2020</w:t>
      </w:r>
      <w:r w:rsidRPr="00476435">
        <w:rPr>
          <w:rFonts w:cs="Arial"/>
          <w:sz w:val="24"/>
          <w:szCs w:val="24"/>
        </w:rPr>
        <w:t>, Dublin: TUSLA, Child and Family Agency</w:t>
      </w:r>
    </w:p>
    <w:p w14:paraId="538F4422" w14:textId="77777777" w:rsidR="00A14C57" w:rsidRPr="00476435" w:rsidRDefault="00A14C57" w:rsidP="00476435">
      <w:pPr>
        <w:spacing w:line="360" w:lineRule="auto"/>
        <w:jc w:val="both"/>
        <w:rPr>
          <w:rFonts w:cs="Arial"/>
          <w:sz w:val="24"/>
          <w:szCs w:val="24"/>
        </w:rPr>
      </w:pPr>
      <w:bookmarkStart w:id="19" w:name="_Hlk531771212"/>
      <w:r w:rsidRPr="00476435">
        <w:rPr>
          <w:rFonts w:cs="Arial"/>
          <w:sz w:val="24"/>
          <w:szCs w:val="24"/>
        </w:rPr>
        <w:t xml:space="preserve">United Nations Development Programme (2018), </w:t>
      </w:r>
      <w:r w:rsidRPr="00476435">
        <w:rPr>
          <w:rFonts w:cs="Arial"/>
          <w:i/>
          <w:sz w:val="24"/>
          <w:szCs w:val="24"/>
        </w:rPr>
        <w:t>Human Development Indices and Indicators: 2018 statistical update</w:t>
      </w:r>
      <w:r w:rsidRPr="00476435">
        <w:rPr>
          <w:rFonts w:cs="Arial"/>
          <w:sz w:val="24"/>
          <w:szCs w:val="24"/>
        </w:rPr>
        <w:t>, New York: United Nations</w:t>
      </w:r>
    </w:p>
    <w:bookmarkEnd w:id="19"/>
    <w:p w14:paraId="3A35C091" w14:textId="480A9772" w:rsidR="00A14C57" w:rsidRPr="00D463B4" w:rsidRDefault="00D463B4" w:rsidP="00476435">
      <w:pPr>
        <w:spacing w:line="360" w:lineRule="auto"/>
        <w:jc w:val="both"/>
        <w:rPr>
          <w:rFonts w:cs="Arial"/>
          <w:sz w:val="24"/>
          <w:szCs w:val="24"/>
        </w:rPr>
      </w:pPr>
      <w:proofErr w:type="spellStart"/>
      <w:r w:rsidRPr="00D463B4">
        <w:rPr>
          <w:rFonts w:cs="Arial"/>
          <w:sz w:val="24"/>
          <w:szCs w:val="24"/>
        </w:rPr>
        <w:lastRenderedPageBreak/>
        <w:t>Wrght</w:t>
      </w:r>
      <w:proofErr w:type="spellEnd"/>
      <w:r w:rsidRPr="00D463B4">
        <w:rPr>
          <w:rFonts w:cs="Arial"/>
          <w:sz w:val="24"/>
          <w:szCs w:val="24"/>
        </w:rPr>
        <w:t xml:space="preserve">, C. (2015), “Students with Learning Disabilities in the Foreign Language Learning Environment and the Practice of Exemption”, </w:t>
      </w:r>
      <w:r w:rsidRPr="00D463B4">
        <w:rPr>
          <w:rFonts w:cs="Arial"/>
          <w:i/>
          <w:sz w:val="24"/>
          <w:szCs w:val="24"/>
        </w:rPr>
        <w:t>Foreign Language Annals</w:t>
      </w:r>
      <w:r w:rsidRPr="00D463B4">
        <w:rPr>
          <w:rFonts w:cs="Arial"/>
          <w:sz w:val="24"/>
          <w:szCs w:val="24"/>
        </w:rPr>
        <w:t>, 48 (1), 39-55</w:t>
      </w:r>
    </w:p>
    <w:sectPr w:rsidR="00A14C57" w:rsidRPr="00D463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0077" w14:textId="77777777" w:rsidR="0074192D" w:rsidRDefault="0074192D" w:rsidP="001E5DAD">
      <w:pPr>
        <w:spacing w:after="0" w:line="240" w:lineRule="auto"/>
      </w:pPr>
      <w:r>
        <w:separator/>
      </w:r>
    </w:p>
  </w:endnote>
  <w:endnote w:type="continuationSeparator" w:id="0">
    <w:p w14:paraId="5E36F758" w14:textId="77777777" w:rsidR="0074192D" w:rsidRDefault="0074192D"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14:paraId="3B2949F3" w14:textId="77777777"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14:paraId="3A06CFDC" w14:textId="77777777"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1725A" w14:textId="77777777" w:rsidR="0074192D" w:rsidRDefault="0074192D" w:rsidP="001E5DAD">
      <w:pPr>
        <w:spacing w:after="0" w:line="240" w:lineRule="auto"/>
      </w:pPr>
      <w:r>
        <w:separator/>
      </w:r>
    </w:p>
  </w:footnote>
  <w:footnote w:type="continuationSeparator" w:id="0">
    <w:p w14:paraId="2D5D0495" w14:textId="77777777" w:rsidR="0074192D" w:rsidRDefault="0074192D"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986699"/>
    <w:multiLevelType w:val="hybridMultilevel"/>
    <w:tmpl w:val="92DC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3B6A96"/>
    <w:multiLevelType w:val="hybridMultilevel"/>
    <w:tmpl w:val="933AB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24"/>
  </w:num>
  <w:num w:numId="5">
    <w:abstractNumId w:val="22"/>
  </w:num>
  <w:num w:numId="6">
    <w:abstractNumId w:val="3"/>
  </w:num>
  <w:num w:numId="7">
    <w:abstractNumId w:val="11"/>
  </w:num>
  <w:num w:numId="8">
    <w:abstractNumId w:val="20"/>
  </w:num>
  <w:num w:numId="9">
    <w:abstractNumId w:val="15"/>
  </w:num>
  <w:num w:numId="10">
    <w:abstractNumId w:val="4"/>
  </w:num>
  <w:num w:numId="11">
    <w:abstractNumId w:val="7"/>
  </w:num>
  <w:num w:numId="12">
    <w:abstractNumId w:val="21"/>
  </w:num>
  <w:num w:numId="13">
    <w:abstractNumId w:val="1"/>
  </w:num>
  <w:num w:numId="14">
    <w:abstractNumId w:val="23"/>
  </w:num>
  <w:num w:numId="15">
    <w:abstractNumId w:val="2"/>
  </w:num>
  <w:num w:numId="16">
    <w:abstractNumId w:val="0"/>
  </w:num>
  <w:num w:numId="17">
    <w:abstractNumId w:val="10"/>
  </w:num>
  <w:num w:numId="18">
    <w:abstractNumId w:val="6"/>
  </w:num>
  <w:num w:numId="19">
    <w:abstractNumId w:val="25"/>
  </w:num>
  <w:num w:numId="20">
    <w:abstractNumId w:val="14"/>
  </w:num>
  <w:num w:numId="21">
    <w:abstractNumId w:val="9"/>
  </w:num>
  <w:num w:numId="22">
    <w:abstractNumId w:val="16"/>
  </w:num>
  <w:num w:numId="23">
    <w:abstractNumId w:val="18"/>
  </w:num>
  <w:num w:numId="24">
    <w:abstractNumId w:val="17"/>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69"/>
    <w:rsid w:val="00020DB4"/>
    <w:rsid w:val="00021C7B"/>
    <w:rsid w:val="00030807"/>
    <w:rsid w:val="000373BB"/>
    <w:rsid w:val="00037410"/>
    <w:rsid w:val="000478ED"/>
    <w:rsid w:val="00061478"/>
    <w:rsid w:val="000747EB"/>
    <w:rsid w:val="000761CB"/>
    <w:rsid w:val="0007629A"/>
    <w:rsid w:val="000814FF"/>
    <w:rsid w:val="00087033"/>
    <w:rsid w:val="000B6848"/>
    <w:rsid w:val="000B6D1B"/>
    <w:rsid w:val="000B70CE"/>
    <w:rsid w:val="000C09F6"/>
    <w:rsid w:val="000C2063"/>
    <w:rsid w:val="000E0247"/>
    <w:rsid w:val="000E218D"/>
    <w:rsid w:val="000E22A7"/>
    <w:rsid w:val="000E49FC"/>
    <w:rsid w:val="000E4F4D"/>
    <w:rsid w:val="000F61E9"/>
    <w:rsid w:val="001036F9"/>
    <w:rsid w:val="0010428C"/>
    <w:rsid w:val="00104EEA"/>
    <w:rsid w:val="00123F17"/>
    <w:rsid w:val="00130A2C"/>
    <w:rsid w:val="001373E0"/>
    <w:rsid w:val="001542F7"/>
    <w:rsid w:val="0016203D"/>
    <w:rsid w:val="001674FA"/>
    <w:rsid w:val="001843B1"/>
    <w:rsid w:val="0018717F"/>
    <w:rsid w:val="001903B6"/>
    <w:rsid w:val="0019362F"/>
    <w:rsid w:val="00194340"/>
    <w:rsid w:val="00196E79"/>
    <w:rsid w:val="00197292"/>
    <w:rsid w:val="001A0ED8"/>
    <w:rsid w:val="001A4CC9"/>
    <w:rsid w:val="001A78B0"/>
    <w:rsid w:val="001D412D"/>
    <w:rsid w:val="001E5DAD"/>
    <w:rsid w:val="001F3BFD"/>
    <w:rsid w:val="0020709E"/>
    <w:rsid w:val="00207614"/>
    <w:rsid w:val="002203AD"/>
    <w:rsid w:val="002374A4"/>
    <w:rsid w:val="00237706"/>
    <w:rsid w:val="00246EE2"/>
    <w:rsid w:val="00262A94"/>
    <w:rsid w:val="00282CA3"/>
    <w:rsid w:val="002A569F"/>
    <w:rsid w:val="002A70E5"/>
    <w:rsid w:val="002B3562"/>
    <w:rsid w:val="002D649B"/>
    <w:rsid w:val="002D6B85"/>
    <w:rsid w:val="002E13B8"/>
    <w:rsid w:val="002E553B"/>
    <w:rsid w:val="002F2AD1"/>
    <w:rsid w:val="002F5110"/>
    <w:rsid w:val="003103A8"/>
    <w:rsid w:val="003348F4"/>
    <w:rsid w:val="003409C9"/>
    <w:rsid w:val="00342095"/>
    <w:rsid w:val="003500DD"/>
    <w:rsid w:val="003505F9"/>
    <w:rsid w:val="00364612"/>
    <w:rsid w:val="00383317"/>
    <w:rsid w:val="00383C04"/>
    <w:rsid w:val="003959E2"/>
    <w:rsid w:val="003B07B6"/>
    <w:rsid w:val="003C18DB"/>
    <w:rsid w:val="003C3DC0"/>
    <w:rsid w:val="003D05BB"/>
    <w:rsid w:val="003D29AE"/>
    <w:rsid w:val="003D4A25"/>
    <w:rsid w:val="003E7EED"/>
    <w:rsid w:val="003F14EB"/>
    <w:rsid w:val="003F380D"/>
    <w:rsid w:val="00401B9F"/>
    <w:rsid w:val="00406327"/>
    <w:rsid w:val="0041104C"/>
    <w:rsid w:val="0042135E"/>
    <w:rsid w:val="004341CF"/>
    <w:rsid w:val="0043434D"/>
    <w:rsid w:val="0044056A"/>
    <w:rsid w:val="00444AE4"/>
    <w:rsid w:val="00464868"/>
    <w:rsid w:val="00472ABE"/>
    <w:rsid w:val="00476435"/>
    <w:rsid w:val="004849FF"/>
    <w:rsid w:val="00485D6A"/>
    <w:rsid w:val="00487B33"/>
    <w:rsid w:val="004965AF"/>
    <w:rsid w:val="004B21D7"/>
    <w:rsid w:val="004B3052"/>
    <w:rsid w:val="005055F6"/>
    <w:rsid w:val="00507252"/>
    <w:rsid w:val="005104D2"/>
    <w:rsid w:val="005160BD"/>
    <w:rsid w:val="005174F7"/>
    <w:rsid w:val="00547022"/>
    <w:rsid w:val="00551508"/>
    <w:rsid w:val="00554298"/>
    <w:rsid w:val="005663E7"/>
    <w:rsid w:val="00572042"/>
    <w:rsid w:val="00577038"/>
    <w:rsid w:val="00590DC6"/>
    <w:rsid w:val="00596E64"/>
    <w:rsid w:val="005A1AA3"/>
    <w:rsid w:val="005A4FDC"/>
    <w:rsid w:val="005A5019"/>
    <w:rsid w:val="005B289F"/>
    <w:rsid w:val="005D7EF3"/>
    <w:rsid w:val="005E23A3"/>
    <w:rsid w:val="005E3702"/>
    <w:rsid w:val="00605718"/>
    <w:rsid w:val="0061555D"/>
    <w:rsid w:val="00627F22"/>
    <w:rsid w:val="006306BB"/>
    <w:rsid w:val="00632D41"/>
    <w:rsid w:val="006475F0"/>
    <w:rsid w:val="00662449"/>
    <w:rsid w:val="00671C18"/>
    <w:rsid w:val="00693C7E"/>
    <w:rsid w:val="00695428"/>
    <w:rsid w:val="00696401"/>
    <w:rsid w:val="0069772B"/>
    <w:rsid w:val="006C3BF5"/>
    <w:rsid w:val="006E0AE7"/>
    <w:rsid w:val="006E4C85"/>
    <w:rsid w:val="006F2752"/>
    <w:rsid w:val="006F5DF0"/>
    <w:rsid w:val="006F72E3"/>
    <w:rsid w:val="007024A5"/>
    <w:rsid w:val="0071123F"/>
    <w:rsid w:val="00714E32"/>
    <w:rsid w:val="0074192D"/>
    <w:rsid w:val="00742439"/>
    <w:rsid w:val="00752E1A"/>
    <w:rsid w:val="007725A4"/>
    <w:rsid w:val="00775B69"/>
    <w:rsid w:val="00790584"/>
    <w:rsid w:val="007941B9"/>
    <w:rsid w:val="007972DC"/>
    <w:rsid w:val="007B42FE"/>
    <w:rsid w:val="007B4766"/>
    <w:rsid w:val="007B4A4C"/>
    <w:rsid w:val="007C6EA7"/>
    <w:rsid w:val="007D59D1"/>
    <w:rsid w:val="007D5AA5"/>
    <w:rsid w:val="007D7C35"/>
    <w:rsid w:val="007D7C46"/>
    <w:rsid w:val="007D7D5B"/>
    <w:rsid w:val="007E025D"/>
    <w:rsid w:val="007E46FA"/>
    <w:rsid w:val="007E5BC8"/>
    <w:rsid w:val="00836D4D"/>
    <w:rsid w:val="00844B02"/>
    <w:rsid w:val="008457C5"/>
    <w:rsid w:val="00852D95"/>
    <w:rsid w:val="008555E9"/>
    <w:rsid w:val="00855607"/>
    <w:rsid w:val="00861287"/>
    <w:rsid w:val="00866555"/>
    <w:rsid w:val="00870E5E"/>
    <w:rsid w:val="00886F39"/>
    <w:rsid w:val="0088751A"/>
    <w:rsid w:val="0089023E"/>
    <w:rsid w:val="00894A8B"/>
    <w:rsid w:val="008C1AAB"/>
    <w:rsid w:val="008C7075"/>
    <w:rsid w:val="008D3DE9"/>
    <w:rsid w:val="008D7DF4"/>
    <w:rsid w:val="008E17AE"/>
    <w:rsid w:val="008E31BF"/>
    <w:rsid w:val="008F0276"/>
    <w:rsid w:val="008F5D4B"/>
    <w:rsid w:val="00911BE1"/>
    <w:rsid w:val="009204E0"/>
    <w:rsid w:val="009244B3"/>
    <w:rsid w:val="00933273"/>
    <w:rsid w:val="00960A99"/>
    <w:rsid w:val="00964FCE"/>
    <w:rsid w:val="00970670"/>
    <w:rsid w:val="009833B2"/>
    <w:rsid w:val="00990B58"/>
    <w:rsid w:val="00996DAF"/>
    <w:rsid w:val="009A2D93"/>
    <w:rsid w:val="009B5314"/>
    <w:rsid w:val="009C552F"/>
    <w:rsid w:val="009D40FE"/>
    <w:rsid w:val="009D77E5"/>
    <w:rsid w:val="009E3863"/>
    <w:rsid w:val="00A01EFB"/>
    <w:rsid w:val="00A04358"/>
    <w:rsid w:val="00A04C74"/>
    <w:rsid w:val="00A12494"/>
    <w:rsid w:val="00A14C57"/>
    <w:rsid w:val="00A21D2A"/>
    <w:rsid w:val="00A23190"/>
    <w:rsid w:val="00A301A7"/>
    <w:rsid w:val="00A43DEB"/>
    <w:rsid w:val="00A45A22"/>
    <w:rsid w:val="00A46711"/>
    <w:rsid w:val="00A52D27"/>
    <w:rsid w:val="00A560A4"/>
    <w:rsid w:val="00A67B64"/>
    <w:rsid w:val="00A81D53"/>
    <w:rsid w:val="00A93302"/>
    <w:rsid w:val="00AB30BB"/>
    <w:rsid w:val="00AC068A"/>
    <w:rsid w:val="00AC49BB"/>
    <w:rsid w:val="00AC6DA7"/>
    <w:rsid w:val="00AC6FC2"/>
    <w:rsid w:val="00AD7A53"/>
    <w:rsid w:val="00AF2879"/>
    <w:rsid w:val="00AF2DE2"/>
    <w:rsid w:val="00AF31A1"/>
    <w:rsid w:val="00AF4C85"/>
    <w:rsid w:val="00B0086B"/>
    <w:rsid w:val="00B00A9A"/>
    <w:rsid w:val="00B041E2"/>
    <w:rsid w:val="00B1597F"/>
    <w:rsid w:val="00B275A3"/>
    <w:rsid w:val="00B31A73"/>
    <w:rsid w:val="00B40FA7"/>
    <w:rsid w:val="00B42153"/>
    <w:rsid w:val="00B47744"/>
    <w:rsid w:val="00B5761B"/>
    <w:rsid w:val="00B604AB"/>
    <w:rsid w:val="00B80181"/>
    <w:rsid w:val="00B805A7"/>
    <w:rsid w:val="00B965F9"/>
    <w:rsid w:val="00BA0886"/>
    <w:rsid w:val="00BB24CC"/>
    <w:rsid w:val="00BB6253"/>
    <w:rsid w:val="00BC397C"/>
    <w:rsid w:val="00BD0FAF"/>
    <w:rsid w:val="00BD16B5"/>
    <w:rsid w:val="00BD3F30"/>
    <w:rsid w:val="00BE047F"/>
    <w:rsid w:val="00BE3EA4"/>
    <w:rsid w:val="00BE44E7"/>
    <w:rsid w:val="00BE5ADF"/>
    <w:rsid w:val="00BF1F56"/>
    <w:rsid w:val="00BF7DBD"/>
    <w:rsid w:val="00C04963"/>
    <w:rsid w:val="00C15932"/>
    <w:rsid w:val="00C2074B"/>
    <w:rsid w:val="00C20F3D"/>
    <w:rsid w:val="00C31378"/>
    <w:rsid w:val="00C43B5E"/>
    <w:rsid w:val="00C570F1"/>
    <w:rsid w:val="00C71902"/>
    <w:rsid w:val="00C75B3A"/>
    <w:rsid w:val="00C82175"/>
    <w:rsid w:val="00C82359"/>
    <w:rsid w:val="00C85CA3"/>
    <w:rsid w:val="00C866CB"/>
    <w:rsid w:val="00C8791A"/>
    <w:rsid w:val="00CB3A74"/>
    <w:rsid w:val="00CC2E33"/>
    <w:rsid w:val="00CE789D"/>
    <w:rsid w:val="00CF09DF"/>
    <w:rsid w:val="00D013A7"/>
    <w:rsid w:val="00D06190"/>
    <w:rsid w:val="00D077AC"/>
    <w:rsid w:val="00D223A8"/>
    <w:rsid w:val="00D22D32"/>
    <w:rsid w:val="00D30809"/>
    <w:rsid w:val="00D317E4"/>
    <w:rsid w:val="00D463B4"/>
    <w:rsid w:val="00D5057C"/>
    <w:rsid w:val="00D5471B"/>
    <w:rsid w:val="00D54949"/>
    <w:rsid w:val="00D56152"/>
    <w:rsid w:val="00D61DEB"/>
    <w:rsid w:val="00D67347"/>
    <w:rsid w:val="00D750D5"/>
    <w:rsid w:val="00D81958"/>
    <w:rsid w:val="00D82B80"/>
    <w:rsid w:val="00D8462B"/>
    <w:rsid w:val="00D85EDF"/>
    <w:rsid w:val="00D943C0"/>
    <w:rsid w:val="00DA62B1"/>
    <w:rsid w:val="00DB78F2"/>
    <w:rsid w:val="00DC52A6"/>
    <w:rsid w:val="00DD0EF8"/>
    <w:rsid w:val="00DD6132"/>
    <w:rsid w:val="00DF3B6B"/>
    <w:rsid w:val="00E33EBD"/>
    <w:rsid w:val="00E4177A"/>
    <w:rsid w:val="00E45461"/>
    <w:rsid w:val="00E46AC7"/>
    <w:rsid w:val="00E512CE"/>
    <w:rsid w:val="00E63D39"/>
    <w:rsid w:val="00E70C0A"/>
    <w:rsid w:val="00E73014"/>
    <w:rsid w:val="00E7790C"/>
    <w:rsid w:val="00E90F0F"/>
    <w:rsid w:val="00EA0D26"/>
    <w:rsid w:val="00EB31F6"/>
    <w:rsid w:val="00EB75A4"/>
    <w:rsid w:val="00EC3D1B"/>
    <w:rsid w:val="00EC5BF6"/>
    <w:rsid w:val="00EF1D64"/>
    <w:rsid w:val="00F00375"/>
    <w:rsid w:val="00F0103A"/>
    <w:rsid w:val="00F0172A"/>
    <w:rsid w:val="00F2507B"/>
    <w:rsid w:val="00F56CF9"/>
    <w:rsid w:val="00F67C98"/>
    <w:rsid w:val="00F71F8F"/>
    <w:rsid w:val="00F737E2"/>
    <w:rsid w:val="00F801F4"/>
    <w:rsid w:val="00F8484A"/>
    <w:rsid w:val="00F855DE"/>
    <w:rsid w:val="00F95C41"/>
    <w:rsid w:val="00FB37BF"/>
    <w:rsid w:val="00FB5A84"/>
    <w:rsid w:val="00FC0292"/>
    <w:rsid w:val="00FC0AD0"/>
    <w:rsid w:val="00FC34CB"/>
    <w:rsid w:val="00FC3DC2"/>
    <w:rsid w:val="00FC6EF4"/>
    <w:rsid w:val="00FC73A7"/>
    <w:rsid w:val="00FC7805"/>
    <w:rsid w:val="00FE6A22"/>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56D1"/>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 w:id="1905486601">
      <w:bodyDiv w:val="1"/>
      <w:marLeft w:val="0"/>
      <w:marRight w:val="0"/>
      <w:marTop w:val="0"/>
      <w:marBottom w:val="0"/>
      <w:divBdr>
        <w:top w:val="none" w:sz="0" w:space="0" w:color="auto"/>
        <w:left w:val="none" w:sz="0" w:space="0" w:color="auto"/>
        <w:bottom w:val="none" w:sz="0" w:space="0" w:color="auto"/>
        <w:right w:val="none" w:sz="0" w:space="0" w:color="auto"/>
      </w:divBdr>
    </w:div>
    <w:div w:id="19187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2018-12-13T15:01:00Z</cp:lastPrinted>
  <dcterms:created xsi:type="dcterms:W3CDTF">2019-01-08T14:03:00Z</dcterms:created>
  <dcterms:modified xsi:type="dcterms:W3CDTF">2019-01-08T14:03:00Z</dcterms:modified>
</cp:coreProperties>
</file>