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B33BE" w14:textId="77777777" w:rsidR="00BD16B5" w:rsidRDefault="000373BB" w:rsidP="00BD16B5">
      <w:pPr>
        <w:jc w:val="center"/>
        <w:rPr>
          <w:b/>
          <w:sz w:val="32"/>
          <w:szCs w:val="32"/>
        </w:rPr>
      </w:pPr>
      <w:r w:rsidRPr="002E5D97">
        <w:rPr>
          <w:noProof/>
          <w:lang w:eastAsia="en-IE"/>
        </w:rPr>
        <w:drawing>
          <wp:inline distT="0" distB="0" distL="0" distR="0" wp14:anchorId="630E886A" wp14:editId="54EF9288">
            <wp:extent cx="1524000" cy="11747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I Crest Option 2 for output (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8604" cy="1209132"/>
                    </a:xfrm>
                    <a:prstGeom prst="rect">
                      <a:avLst/>
                    </a:prstGeom>
                  </pic:spPr>
                </pic:pic>
              </a:graphicData>
            </a:graphic>
          </wp:inline>
        </w:drawing>
      </w:r>
    </w:p>
    <w:p w14:paraId="0247CB03" w14:textId="3FF569C2" w:rsidR="00372CB1" w:rsidRPr="00091563" w:rsidRDefault="00A12494" w:rsidP="00372CB1">
      <w:pPr>
        <w:pStyle w:val="Default"/>
        <w:spacing w:line="360" w:lineRule="auto"/>
        <w:jc w:val="center"/>
        <w:rPr>
          <w:rFonts w:asciiTheme="minorHAnsi" w:hAnsiTheme="minorHAnsi" w:cstheme="minorHAnsi"/>
          <w:b/>
        </w:rPr>
      </w:pPr>
      <w:r w:rsidRPr="00091563">
        <w:rPr>
          <w:rFonts w:asciiTheme="minorHAnsi" w:hAnsiTheme="minorHAnsi" w:cstheme="minorHAnsi"/>
          <w:b/>
        </w:rPr>
        <w:t>Teachers’ Union of Ireland</w:t>
      </w:r>
      <w:r w:rsidR="001903B6" w:rsidRPr="00091563">
        <w:rPr>
          <w:rFonts w:asciiTheme="minorHAnsi" w:hAnsiTheme="minorHAnsi" w:cstheme="minorHAnsi"/>
          <w:b/>
        </w:rPr>
        <w:t xml:space="preserve"> (TUI) </w:t>
      </w:r>
      <w:r w:rsidR="0007629A" w:rsidRPr="00091563">
        <w:rPr>
          <w:rFonts w:asciiTheme="minorHAnsi" w:hAnsiTheme="minorHAnsi" w:cstheme="minorHAnsi"/>
          <w:b/>
        </w:rPr>
        <w:t>r</w:t>
      </w:r>
      <w:r w:rsidRPr="00091563">
        <w:rPr>
          <w:rFonts w:asciiTheme="minorHAnsi" w:hAnsiTheme="minorHAnsi" w:cstheme="minorHAnsi"/>
          <w:b/>
        </w:rPr>
        <w:t xml:space="preserve">esponse to </w:t>
      </w:r>
      <w:r w:rsidR="00BE5ADF" w:rsidRPr="00091563">
        <w:rPr>
          <w:rFonts w:asciiTheme="minorHAnsi" w:hAnsiTheme="minorHAnsi" w:cstheme="minorHAnsi"/>
          <w:b/>
        </w:rPr>
        <w:t xml:space="preserve">the </w:t>
      </w:r>
      <w:r w:rsidR="00740AEB" w:rsidRPr="00091563">
        <w:rPr>
          <w:rFonts w:asciiTheme="minorHAnsi" w:hAnsiTheme="minorHAnsi" w:cstheme="minorHAnsi"/>
          <w:b/>
        </w:rPr>
        <w:t>invitation of the</w:t>
      </w:r>
    </w:p>
    <w:p w14:paraId="649A2A5C" w14:textId="57A4D502" w:rsidR="003F2ED9" w:rsidRDefault="00034C2D" w:rsidP="00091563">
      <w:pPr>
        <w:pStyle w:val="Default"/>
        <w:spacing w:line="360" w:lineRule="auto"/>
        <w:jc w:val="center"/>
        <w:rPr>
          <w:rFonts w:asciiTheme="minorHAnsi" w:hAnsiTheme="minorHAnsi" w:cstheme="minorHAnsi"/>
          <w:b/>
        </w:rPr>
      </w:pPr>
      <w:r>
        <w:rPr>
          <w:rFonts w:asciiTheme="minorHAnsi" w:hAnsiTheme="minorHAnsi" w:cstheme="minorHAnsi"/>
          <w:b/>
        </w:rPr>
        <w:t>Department of Education</w:t>
      </w:r>
      <w:r w:rsidR="00372CB1" w:rsidRPr="00091563">
        <w:rPr>
          <w:rFonts w:asciiTheme="minorHAnsi" w:hAnsiTheme="minorHAnsi" w:cstheme="minorHAnsi"/>
          <w:b/>
        </w:rPr>
        <w:t xml:space="preserve"> to make a submission</w:t>
      </w:r>
      <w:r w:rsidR="00091563" w:rsidRPr="00091563">
        <w:rPr>
          <w:rFonts w:asciiTheme="minorHAnsi" w:hAnsiTheme="minorHAnsi" w:cstheme="minorHAnsi"/>
          <w:b/>
        </w:rPr>
        <w:t xml:space="preserve"> </w:t>
      </w:r>
      <w:r w:rsidR="0070085E">
        <w:rPr>
          <w:rFonts w:asciiTheme="minorHAnsi" w:hAnsiTheme="minorHAnsi" w:cstheme="minorHAnsi"/>
          <w:b/>
        </w:rPr>
        <w:t>on</w:t>
      </w:r>
      <w:r w:rsidR="00372CB1" w:rsidRPr="00091563">
        <w:rPr>
          <w:rFonts w:asciiTheme="minorHAnsi" w:hAnsiTheme="minorHAnsi" w:cstheme="minorHAnsi"/>
          <w:b/>
        </w:rPr>
        <w:t xml:space="preserve"> the topic</w:t>
      </w:r>
      <w:r w:rsidR="0070085E">
        <w:rPr>
          <w:rFonts w:asciiTheme="minorHAnsi" w:hAnsiTheme="minorHAnsi" w:cstheme="minorHAnsi"/>
          <w:b/>
        </w:rPr>
        <w:t xml:space="preserve"> of</w:t>
      </w:r>
      <w:r w:rsidR="00372CB1" w:rsidRPr="00091563">
        <w:rPr>
          <w:rFonts w:asciiTheme="minorHAnsi" w:hAnsiTheme="minorHAnsi" w:cstheme="minorHAnsi"/>
          <w:b/>
        </w:rPr>
        <w:t xml:space="preserve"> </w:t>
      </w:r>
      <w:r w:rsidR="008D5F28">
        <w:rPr>
          <w:rFonts w:asciiTheme="minorHAnsi" w:hAnsiTheme="minorHAnsi" w:cstheme="minorHAnsi"/>
          <w:b/>
        </w:rPr>
        <w:t xml:space="preserve">the </w:t>
      </w:r>
    </w:p>
    <w:p w14:paraId="482CD9CA" w14:textId="6B60054D" w:rsidR="001903B6" w:rsidRPr="00091563" w:rsidRDefault="00372CB1" w:rsidP="00091563">
      <w:pPr>
        <w:pStyle w:val="Default"/>
        <w:spacing w:line="360" w:lineRule="auto"/>
        <w:jc w:val="center"/>
        <w:rPr>
          <w:rFonts w:asciiTheme="minorHAnsi" w:hAnsiTheme="minorHAnsi" w:cstheme="minorHAnsi"/>
          <w:b/>
        </w:rPr>
      </w:pPr>
      <w:r w:rsidRPr="00091563">
        <w:rPr>
          <w:rFonts w:asciiTheme="minorHAnsi" w:hAnsiTheme="minorHAnsi" w:cstheme="minorHAnsi"/>
          <w:b/>
        </w:rPr>
        <w:t>“</w:t>
      </w:r>
      <w:r w:rsidR="00034C2D">
        <w:rPr>
          <w:rFonts w:asciiTheme="minorHAnsi" w:hAnsiTheme="minorHAnsi" w:cstheme="minorHAnsi"/>
          <w:b/>
          <w:i/>
          <w:iCs/>
        </w:rPr>
        <w:t>STEM Education</w:t>
      </w:r>
      <w:r w:rsidRPr="00091563">
        <w:rPr>
          <w:rFonts w:asciiTheme="minorHAnsi" w:hAnsiTheme="minorHAnsi" w:cstheme="minorHAnsi"/>
          <w:b/>
          <w:i/>
          <w:iCs/>
        </w:rPr>
        <w:t>”.</w:t>
      </w:r>
    </w:p>
    <w:p w14:paraId="7BABE515" w14:textId="4AECEEC5" w:rsidR="00A12494" w:rsidRPr="00091563" w:rsidRDefault="00A12494" w:rsidP="00372CB1">
      <w:pPr>
        <w:spacing w:line="360" w:lineRule="auto"/>
        <w:jc w:val="center"/>
        <w:rPr>
          <w:rFonts w:cstheme="minorHAnsi"/>
          <w:b/>
          <w:sz w:val="24"/>
          <w:szCs w:val="24"/>
        </w:rPr>
      </w:pPr>
      <w:r w:rsidRPr="00091563">
        <w:rPr>
          <w:rFonts w:cstheme="minorHAnsi"/>
          <w:b/>
          <w:sz w:val="24"/>
          <w:szCs w:val="24"/>
        </w:rPr>
        <w:t>(</w:t>
      </w:r>
      <w:r w:rsidR="00034C2D">
        <w:rPr>
          <w:rFonts w:cstheme="minorHAnsi"/>
          <w:b/>
          <w:sz w:val="24"/>
          <w:szCs w:val="24"/>
        </w:rPr>
        <w:t>January 2022</w:t>
      </w:r>
      <w:r w:rsidR="00774CF1" w:rsidRPr="00091563">
        <w:rPr>
          <w:rFonts w:cstheme="minorHAnsi"/>
          <w:b/>
          <w:sz w:val="24"/>
          <w:szCs w:val="24"/>
        </w:rPr>
        <w:t>)</w:t>
      </w:r>
    </w:p>
    <w:p w14:paraId="791ACE9F" w14:textId="77777777" w:rsidR="00F46C7F" w:rsidRDefault="00F46C7F" w:rsidP="00014283">
      <w:pPr>
        <w:spacing w:after="0" w:line="360" w:lineRule="auto"/>
        <w:jc w:val="both"/>
        <w:rPr>
          <w:rFonts w:cstheme="minorHAnsi"/>
          <w:b/>
          <w:sz w:val="24"/>
          <w:szCs w:val="24"/>
          <w:u w:val="single"/>
        </w:rPr>
      </w:pPr>
    </w:p>
    <w:p w14:paraId="331CD4B7" w14:textId="60996DEC" w:rsidR="00DF3151" w:rsidRPr="00CB337C" w:rsidRDefault="00DF3151" w:rsidP="00CB337C">
      <w:pPr>
        <w:spacing w:after="0" w:line="360" w:lineRule="auto"/>
        <w:jc w:val="both"/>
        <w:rPr>
          <w:rFonts w:cstheme="minorHAnsi"/>
          <w:b/>
          <w:u w:val="single"/>
        </w:rPr>
      </w:pPr>
      <w:r w:rsidRPr="00CB337C">
        <w:rPr>
          <w:rFonts w:cstheme="minorHAnsi"/>
          <w:b/>
          <w:u w:val="single"/>
        </w:rPr>
        <w:t>Introduction</w:t>
      </w:r>
    </w:p>
    <w:p w14:paraId="74193FC0" w14:textId="42ACE054" w:rsidR="00DF3151" w:rsidRPr="00CB337C" w:rsidRDefault="001542F7" w:rsidP="00CB337C">
      <w:pPr>
        <w:spacing w:after="0" w:line="360" w:lineRule="auto"/>
        <w:jc w:val="both"/>
        <w:rPr>
          <w:rFonts w:cstheme="minorHAnsi"/>
        </w:rPr>
      </w:pPr>
      <w:r w:rsidRPr="00CB337C">
        <w:rPr>
          <w:rFonts w:cstheme="minorHAnsi"/>
        </w:rPr>
        <w:t xml:space="preserve">The </w:t>
      </w:r>
      <w:r w:rsidR="008C1AAB" w:rsidRPr="00CB337C">
        <w:rPr>
          <w:rFonts w:cstheme="minorHAnsi"/>
        </w:rPr>
        <w:t>TUI represents teachers</w:t>
      </w:r>
      <w:r w:rsidRPr="00CB337C">
        <w:rPr>
          <w:rFonts w:cstheme="minorHAnsi"/>
        </w:rPr>
        <w:t xml:space="preserve">, </w:t>
      </w:r>
      <w:proofErr w:type="gramStart"/>
      <w:r w:rsidRPr="00CB337C">
        <w:rPr>
          <w:rFonts w:cstheme="minorHAnsi"/>
        </w:rPr>
        <w:t>l</w:t>
      </w:r>
      <w:r w:rsidR="000F61E9" w:rsidRPr="00CB337C">
        <w:rPr>
          <w:rFonts w:cstheme="minorHAnsi"/>
        </w:rPr>
        <w:t>ecturers</w:t>
      </w:r>
      <w:proofErr w:type="gramEnd"/>
      <w:r w:rsidR="000F61E9" w:rsidRPr="00CB337C">
        <w:rPr>
          <w:rFonts w:cstheme="minorHAnsi"/>
        </w:rPr>
        <w:t xml:space="preserve"> and staff </w:t>
      </w:r>
      <w:r w:rsidR="00A86D58" w:rsidRPr="00CB337C">
        <w:rPr>
          <w:rFonts w:cstheme="minorHAnsi"/>
        </w:rPr>
        <w:t>(</w:t>
      </w:r>
      <w:r w:rsidR="0061246E" w:rsidRPr="00CB337C">
        <w:rPr>
          <w:rFonts w:cstheme="minorHAnsi"/>
        </w:rPr>
        <w:t>21</w:t>
      </w:r>
      <w:r w:rsidR="00A86D58" w:rsidRPr="00CB337C">
        <w:rPr>
          <w:rFonts w:cstheme="minorHAnsi"/>
        </w:rPr>
        <w:t xml:space="preserve">,000+) </w:t>
      </w:r>
      <w:r w:rsidR="000F61E9" w:rsidRPr="00CB337C">
        <w:rPr>
          <w:rFonts w:cstheme="minorHAnsi"/>
        </w:rPr>
        <w:t xml:space="preserve">in </w:t>
      </w:r>
      <w:r w:rsidR="00433CE8" w:rsidRPr="00CB337C">
        <w:rPr>
          <w:rFonts w:cstheme="minorHAnsi"/>
        </w:rPr>
        <w:t xml:space="preserve">Education and Training Boards (ETBs), voluntary secondary schools, Community and Comprehensive (C&amp;C) schools, </w:t>
      </w:r>
      <w:proofErr w:type="spellStart"/>
      <w:r w:rsidR="00433CE8" w:rsidRPr="00CB337C">
        <w:rPr>
          <w:rFonts w:cstheme="minorHAnsi"/>
        </w:rPr>
        <w:t>Youthreach</w:t>
      </w:r>
      <w:proofErr w:type="spellEnd"/>
      <w:r w:rsidR="00433CE8" w:rsidRPr="00CB337C">
        <w:rPr>
          <w:rFonts w:cstheme="minorHAnsi"/>
        </w:rPr>
        <w:t xml:space="preserve">, institutes of technology and technological universities and those working in </w:t>
      </w:r>
      <w:r w:rsidR="000F61E9" w:rsidRPr="00CB337C">
        <w:rPr>
          <w:rFonts w:cstheme="minorHAnsi"/>
        </w:rPr>
        <w:t>out of school services</w:t>
      </w:r>
      <w:r w:rsidR="00433CE8" w:rsidRPr="00CB337C">
        <w:rPr>
          <w:rFonts w:cstheme="minorHAnsi"/>
        </w:rPr>
        <w:t>.</w:t>
      </w:r>
    </w:p>
    <w:p w14:paraId="0E6923AC" w14:textId="77777777" w:rsidR="00D035B0" w:rsidRPr="00CB337C" w:rsidRDefault="00D035B0" w:rsidP="00CB337C">
      <w:pPr>
        <w:spacing w:after="0" w:line="360" w:lineRule="auto"/>
        <w:jc w:val="both"/>
        <w:rPr>
          <w:rFonts w:eastAsiaTheme="majorEastAsia" w:cstheme="minorHAnsi"/>
          <w:b/>
          <w:bCs/>
          <w:u w:val="single"/>
        </w:rPr>
      </w:pPr>
    </w:p>
    <w:p w14:paraId="00D0C482" w14:textId="2C81E634" w:rsidR="00DF3151" w:rsidRPr="00CB337C" w:rsidRDefault="002C51C8" w:rsidP="00CB337C">
      <w:pPr>
        <w:spacing w:after="0" w:line="360" w:lineRule="auto"/>
        <w:jc w:val="both"/>
        <w:rPr>
          <w:rFonts w:eastAsiaTheme="majorEastAsia" w:cstheme="minorHAnsi"/>
          <w:b/>
          <w:bCs/>
          <w:u w:val="single"/>
        </w:rPr>
      </w:pPr>
      <w:r w:rsidRPr="00CB337C">
        <w:rPr>
          <w:rFonts w:eastAsiaTheme="majorEastAsia" w:cstheme="minorHAnsi"/>
          <w:b/>
          <w:bCs/>
          <w:u w:val="single"/>
        </w:rPr>
        <w:t>Backg</w:t>
      </w:r>
      <w:r w:rsidR="00DF3151" w:rsidRPr="00CB337C">
        <w:rPr>
          <w:rFonts w:eastAsiaTheme="majorEastAsia" w:cstheme="minorHAnsi"/>
          <w:b/>
          <w:bCs/>
          <w:u w:val="single"/>
        </w:rPr>
        <w:t>round</w:t>
      </w:r>
    </w:p>
    <w:p w14:paraId="640F7150" w14:textId="2BF5A76D" w:rsidR="00774CF1" w:rsidRPr="00CB337C" w:rsidRDefault="00DF3151" w:rsidP="00CB337C">
      <w:pPr>
        <w:spacing w:line="360" w:lineRule="auto"/>
        <w:jc w:val="both"/>
        <w:rPr>
          <w:rFonts w:cstheme="minorHAnsi"/>
        </w:rPr>
      </w:pPr>
      <w:bookmarkStart w:id="0" w:name="_Hlk523404169"/>
      <w:r w:rsidRPr="00CB337C">
        <w:rPr>
          <w:rFonts w:eastAsiaTheme="majorEastAsia" w:cstheme="minorHAnsi"/>
          <w:bCs/>
        </w:rPr>
        <w:t xml:space="preserve">Ireland has an internationally acknowledged, high-performing education system and a  respected teaching profession (Teaching Council, 2010; OECD, 2013; DES, 2018a; OECD, 2015a; NAPD, 2016; </w:t>
      </w:r>
      <w:proofErr w:type="spellStart"/>
      <w:r w:rsidRPr="00CB337C">
        <w:rPr>
          <w:rFonts w:eastAsiaTheme="majorEastAsia" w:cstheme="minorHAnsi"/>
          <w:bCs/>
        </w:rPr>
        <w:t>Comhairle</w:t>
      </w:r>
      <w:proofErr w:type="spellEnd"/>
      <w:r w:rsidRPr="00CB337C">
        <w:rPr>
          <w:rFonts w:eastAsiaTheme="majorEastAsia" w:cstheme="minorHAnsi"/>
          <w:bCs/>
        </w:rPr>
        <w:t xml:space="preserve"> </w:t>
      </w:r>
      <w:proofErr w:type="spellStart"/>
      <w:r w:rsidRPr="00CB337C">
        <w:rPr>
          <w:rFonts w:eastAsiaTheme="majorEastAsia" w:cstheme="minorHAnsi"/>
          <w:bCs/>
        </w:rPr>
        <w:t>na</w:t>
      </w:r>
      <w:proofErr w:type="spellEnd"/>
      <w:r w:rsidRPr="00CB337C">
        <w:rPr>
          <w:rFonts w:eastAsiaTheme="majorEastAsia" w:cstheme="minorHAnsi"/>
          <w:bCs/>
        </w:rPr>
        <w:t xml:space="preserve"> </w:t>
      </w:r>
      <w:proofErr w:type="spellStart"/>
      <w:r w:rsidRPr="00CB337C">
        <w:rPr>
          <w:rFonts w:eastAsiaTheme="majorEastAsia" w:cstheme="minorHAnsi"/>
          <w:bCs/>
        </w:rPr>
        <w:t>nOg</w:t>
      </w:r>
      <w:proofErr w:type="spellEnd"/>
      <w:r w:rsidRPr="00CB337C">
        <w:rPr>
          <w:rFonts w:eastAsiaTheme="majorEastAsia" w:cstheme="minorHAnsi"/>
          <w:bCs/>
        </w:rPr>
        <w:t xml:space="preserve">, 2017; Growing Up in Ireland, 2017; IPSOS MRBI Trust in the Professions Survey, 2017; Boyle, 2017; </w:t>
      </w:r>
      <w:r w:rsidR="00DE4CD9" w:rsidRPr="00CB337C">
        <w:rPr>
          <w:rFonts w:eastAsiaTheme="majorEastAsia" w:cstheme="minorHAnsi"/>
          <w:bCs/>
        </w:rPr>
        <w:t xml:space="preserve">Boyle, 2019; </w:t>
      </w:r>
      <w:r w:rsidRPr="00CB337C">
        <w:rPr>
          <w:rFonts w:eastAsiaTheme="majorEastAsia" w:cstheme="minorHAnsi"/>
          <w:bCs/>
        </w:rPr>
        <w:t>Scanlon &amp; McKenna, 2018;</w:t>
      </w:r>
      <w:r w:rsidRPr="00CB337C">
        <w:rPr>
          <w:rFonts w:eastAsia="BrandonGrotesque-Regular" w:cstheme="minorHAnsi"/>
        </w:rPr>
        <w:t xml:space="preserve"> EU Commission/EACEA/Eurydice, 2018; Kantar Millward Brown, 2018; EU Commission, 2018; EU Commission, 2019a;  EU Commission, 2019b; Social Progress Initiative, 2018; United Nations Development Programme, 2018, Irish Survey of Student Engagement 2018; HEA, 2019</w:t>
      </w:r>
      <w:r w:rsidR="008D5F28" w:rsidRPr="00CB337C">
        <w:rPr>
          <w:rFonts w:eastAsia="BrandonGrotesque-Regular" w:cstheme="minorHAnsi"/>
        </w:rPr>
        <w:t>a</w:t>
      </w:r>
      <w:r w:rsidRPr="00CB337C">
        <w:rPr>
          <w:rFonts w:eastAsia="BrandonGrotesque-Regular" w:cstheme="minorHAnsi"/>
        </w:rPr>
        <w:t xml:space="preserve">; </w:t>
      </w:r>
      <w:proofErr w:type="spellStart"/>
      <w:r w:rsidRPr="00CB337C">
        <w:rPr>
          <w:rFonts w:eastAsia="BrandonGrotesque-Regular" w:cstheme="minorHAnsi"/>
        </w:rPr>
        <w:t>Coolahan</w:t>
      </w:r>
      <w:proofErr w:type="spellEnd"/>
      <w:r w:rsidRPr="00CB337C">
        <w:rPr>
          <w:rFonts w:eastAsia="BrandonGrotesque-Regular" w:cstheme="minorHAnsi"/>
        </w:rPr>
        <w:t xml:space="preserve">, 2017; </w:t>
      </w:r>
      <w:proofErr w:type="spellStart"/>
      <w:r w:rsidRPr="00CB337C">
        <w:rPr>
          <w:rFonts w:eastAsia="BrandonGrotesque-Regular" w:cstheme="minorHAnsi"/>
        </w:rPr>
        <w:t>Eivers</w:t>
      </w:r>
      <w:proofErr w:type="spellEnd"/>
      <w:r w:rsidRPr="00CB337C">
        <w:rPr>
          <w:rFonts w:eastAsia="BrandonGrotesque-Regular" w:cstheme="minorHAnsi"/>
        </w:rPr>
        <w:t>, 2019; CSO, 2019</w:t>
      </w:r>
      <w:r w:rsidR="0059735C" w:rsidRPr="00CB337C">
        <w:rPr>
          <w:rFonts w:eastAsia="BrandonGrotesque-Regular" w:cstheme="minorHAnsi"/>
        </w:rPr>
        <w:t>; McKeown et al., 2019</w:t>
      </w:r>
      <w:r w:rsidR="00237348" w:rsidRPr="00CB337C">
        <w:rPr>
          <w:rFonts w:eastAsia="BrandonGrotesque-Regular" w:cstheme="minorHAnsi"/>
        </w:rPr>
        <w:t>; CSO, 2020</w:t>
      </w:r>
      <w:r w:rsidR="003E48CA" w:rsidRPr="00CB337C">
        <w:rPr>
          <w:rFonts w:eastAsia="BrandonGrotesque-Regular" w:cstheme="minorHAnsi"/>
        </w:rPr>
        <w:t>; OECD, 2020</w:t>
      </w:r>
      <w:r w:rsidR="00F229F4">
        <w:rPr>
          <w:rFonts w:eastAsia="BrandonGrotesque-Regular" w:cstheme="minorHAnsi"/>
        </w:rPr>
        <w:t>a</w:t>
      </w:r>
      <w:r w:rsidR="002A4917" w:rsidRPr="00CB337C">
        <w:rPr>
          <w:rFonts w:eastAsia="BrandonGrotesque-Regular" w:cstheme="minorHAnsi"/>
        </w:rPr>
        <w:t xml:space="preserve">; </w:t>
      </w:r>
      <w:proofErr w:type="spellStart"/>
      <w:r w:rsidR="002A4917" w:rsidRPr="00CB337C">
        <w:rPr>
          <w:rFonts w:eastAsia="BrandonGrotesque-Regular" w:cstheme="minorHAnsi"/>
        </w:rPr>
        <w:t>Eurofound</w:t>
      </w:r>
      <w:proofErr w:type="spellEnd"/>
      <w:r w:rsidR="002A4917" w:rsidRPr="00CB337C">
        <w:rPr>
          <w:rFonts w:eastAsia="BrandonGrotesque-Regular" w:cstheme="minorHAnsi"/>
        </w:rPr>
        <w:t>, 2020</w:t>
      </w:r>
      <w:r w:rsidR="00B62CE4" w:rsidRPr="00CB337C">
        <w:rPr>
          <w:rFonts w:eastAsia="BrandonGrotesque-Regular" w:cstheme="minorHAnsi"/>
        </w:rPr>
        <w:t>; McNamara et al., 2020</w:t>
      </w:r>
      <w:r w:rsidR="00666E2F" w:rsidRPr="00CB337C">
        <w:rPr>
          <w:rFonts w:eastAsia="BrandonGrotesque-Regular" w:cstheme="minorHAnsi"/>
        </w:rPr>
        <w:t>; Clark &amp; Kavanagh, 2021</w:t>
      </w:r>
      <w:r w:rsidR="007C02A0" w:rsidRPr="00CB337C">
        <w:rPr>
          <w:rFonts w:eastAsia="BrandonGrotesque-Regular" w:cstheme="minorHAnsi"/>
        </w:rPr>
        <w:t>; OECD, 2021</w:t>
      </w:r>
      <w:r w:rsidR="00190FF7">
        <w:rPr>
          <w:rFonts w:eastAsia="BrandonGrotesque-Regular" w:cstheme="minorHAnsi"/>
        </w:rPr>
        <w:t>; CSO, 2021</w:t>
      </w:r>
      <w:r w:rsidRPr="00CB337C">
        <w:rPr>
          <w:rFonts w:eastAsiaTheme="majorEastAsia" w:cstheme="minorHAnsi"/>
          <w:bCs/>
        </w:rPr>
        <w:t>) despite spending relatively little on education (OECD, 2015b; SJI, 2018, NERI, 2018, OECD, 2019a</w:t>
      </w:r>
      <w:r w:rsidR="00A86D58" w:rsidRPr="00CB337C">
        <w:rPr>
          <w:rFonts w:eastAsiaTheme="majorEastAsia" w:cstheme="minorHAnsi"/>
          <w:bCs/>
        </w:rPr>
        <w:t>; UNDP, 2019</w:t>
      </w:r>
      <w:r w:rsidR="007C02A0" w:rsidRPr="00CB337C">
        <w:rPr>
          <w:rFonts w:eastAsiaTheme="majorEastAsia" w:cstheme="minorHAnsi"/>
          <w:bCs/>
        </w:rPr>
        <w:t>; OECD, 2021</w:t>
      </w:r>
      <w:r w:rsidRPr="00CB337C">
        <w:rPr>
          <w:rFonts w:eastAsiaTheme="majorEastAsia" w:cstheme="minorHAnsi"/>
          <w:bCs/>
        </w:rPr>
        <w:t xml:space="preserve">) and </w:t>
      </w:r>
      <w:r w:rsidR="00B46FE1" w:rsidRPr="00CB337C">
        <w:rPr>
          <w:rFonts w:eastAsiaTheme="majorEastAsia" w:cstheme="minorHAnsi"/>
          <w:bCs/>
        </w:rPr>
        <w:t xml:space="preserve">experiencing </w:t>
      </w:r>
      <w:r w:rsidRPr="00CB337C">
        <w:rPr>
          <w:rFonts w:eastAsiaTheme="majorEastAsia" w:cstheme="minorHAnsi"/>
          <w:bCs/>
        </w:rPr>
        <w:t>historic underinvestment (DES, 2018b).</w:t>
      </w:r>
      <w:bookmarkEnd w:id="0"/>
      <w:r w:rsidRPr="00CB337C">
        <w:rPr>
          <w:rFonts w:eastAsiaTheme="majorEastAsia" w:cstheme="minorHAnsi"/>
          <w:bCs/>
        </w:rPr>
        <w:t xml:space="preserve"> </w:t>
      </w:r>
      <w:r w:rsidR="003F2ED9" w:rsidRPr="00CB337C">
        <w:rPr>
          <w:rFonts w:cstheme="minorHAnsi"/>
        </w:rPr>
        <w:t>Indeed,</w:t>
      </w:r>
      <w:r w:rsidR="00774CF1" w:rsidRPr="00CB337C">
        <w:rPr>
          <w:rFonts w:cstheme="minorHAnsi"/>
        </w:rPr>
        <w:t xml:space="preserve"> citizen satisfaction with the education system in Ireland is the highest of any of 22 European countries studied </w:t>
      </w:r>
      <w:r w:rsidR="001267B0" w:rsidRPr="00CB337C">
        <w:rPr>
          <w:rFonts w:cstheme="minorHAnsi"/>
        </w:rPr>
        <w:t xml:space="preserve">by </w:t>
      </w:r>
      <w:r w:rsidR="00774CF1" w:rsidRPr="00CB337C">
        <w:rPr>
          <w:rFonts w:cstheme="minorHAnsi"/>
        </w:rPr>
        <w:t>Boyle</w:t>
      </w:r>
      <w:r w:rsidR="001267B0" w:rsidRPr="00CB337C">
        <w:rPr>
          <w:rFonts w:cstheme="minorHAnsi"/>
        </w:rPr>
        <w:t xml:space="preserve"> (20</w:t>
      </w:r>
      <w:r w:rsidR="00774CF1" w:rsidRPr="00CB337C">
        <w:rPr>
          <w:rFonts w:cstheme="minorHAnsi"/>
        </w:rPr>
        <w:t xml:space="preserve">18) whilst parent satisfaction with the Irish education system was the </w:t>
      </w:r>
      <w:r w:rsidR="003F2ED9" w:rsidRPr="00CB337C">
        <w:rPr>
          <w:rFonts w:cstheme="minorHAnsi"/>
        </w:rPr>
        <w:t>second highest</w:t>
      </w:r>
      <w:r w:rsidR="00774CF1" w:rsidRPr="00CB337C">
        <w:rPr>
          <w:rFonts w:cstheme="minorHAnsi"/>
        </w:rPr>
        <w:t xml:space="preserve"> out of fifty-six countries </w:t>
      </w:r>
      <w:r w:rsidR="001267B0" w:rsidRPr="00CB337C">
        <w:rPr>
          <w:rFonts w:cstheme="minorHAnsi"/>
        </w:rPr>
        <w:t xml:space="preserve">in </w:t>
      </w:r>
      <w:r w:rsidR="00774CF1" w:rsidRPr="00CB337C">
        <w:rPr>
          <w:rFonts w:cstheme="minorHAnsi"/>
        </w:rPr>
        <w:t xml:space="preserve">Clerkin et al. </w:t>
      </w:r>
      <w:r w:rsidR="001267B0" w:rsidRPr="00CB337C">
        <w:rPr>
          <w:rFonts w:cstheme="minorHAnsi"/>
        </w:rPr>
        <w:t>(</w:t>
      </w:r>
      <w:r w:rsidR="00774CF1" w:rsidRPr="00CB337C">
        <w:rPr>
          <w:rFonts w:cstheme="minorHAnsi"/>
        </w:rPr>
        <w:t>2020).</w:t>
      </w:r>
    </w:p>
    <w:p w14:paraId="3F7AEBD8" w14:textId="77777777" w:rsidR="00774CF1" w:rsidRPr="00CB337C" w:rsidRDefault="00774CF1" w:rsidP="00CB337C">
      <w:pPr>
        <w:spacing w:line="360" w:lineRule="auto"/>
        <w:jc w:val="both"/>
        <w:rPr>
          <w:rFonts w:cstheme="minorHAnsi"/>
        </w:rPr>
      </w:pPr>
    </w:p>
    <w:p w14:paraId="69B6A458" w14:textId="65105892" w:rsidR="00DF3151" w:rsidRPr="00CB337C" w:rsidRDefault="00DF3151" w:rsidP="00CB337C">
      <w:pPr>
        <w:spacing w:line="360" w:lineRule="auto"/>
        <w:jc w:val="both"/>
        <w:rPr>
          <w:rFonts w:cstheme="minorHAnsi"/>
        </w:rPr>
      </w:pPr>
      <w:r w:rsidRPr="00CB337C">
        <w:rPr>
          <w:rFonts w:cstheme="minorHAnsi"/>
        </w:rPr>
        <w:t xml:space="preserve">It is also worthwhile noting that 2019 data (OECD, 2019b) shows that both citizen satisfaction with the education system, and the economic return to the taxpayer of investment in education, are both extraordinarily high in Ireland compared to international norms.  An Ipsos MRBI survey in 2019 found </w:t>
      </w:r>
      <w:r w:rsidRPr="00CB337C">
        <w:rPr>
          <w:rFonts w:cstheme="minorHAnsi"/>
        </w:rPr>
        <w:lastRenderedPageBreak/>
        <w:t>extraordinarily high levels of public trust in teachers, much higher than for journalists, Gardai, civil servants, politicians, business leaders, social media influencers, bankers or even the “ordinary person in the street” (Irish Times January 31</w:t>
      </w:r>
      <w:r w:rsidRPr="00CB337C">
        <w:rPr>
          <w:rFonts w:cstheme="minorHAnsi"/>
          <w:vertAlign w:val="superscript"/>
        </w:rPr>
        <w:t>st</w:t>
      </w:r>
      <w:r w:rsidR="003F2ED9" w:rsidRPr="00CB337C">
        <w:rPr>
          <w:rFonts w:cstheme="minorHAnsi"/>
        </w:rPr>
        <w:t>, 2019</w:t>
      </w:r>
      <w:r w:rsidRPr="00CB337C">
        <w:rPr>
          <w:rFonts w:cstheme="minorHAnsi"/>
        </w:rPr>
        <w:t>).</w:t>
      </w:r>
      <w:r w:rsidR="000737B9" w:rsidRPr="00CB337C">
        <w:rPr>
          <w:rFonts w:cstheme="minorHAnsi"/>
        </w:rPr>
        <w:t xml:space="preserve">  </w:t>
      </w:r>
      <w:bookmarkStart w:id="1" w:name="_Hlk47014882"/>
      <w:r w:rsidR="000737B9" w:rsidRPr="00CB337C">
        <w:rPr>
          <w:rFonts w:cstheme="minorHAnsi"/>
        </w:rPr>
        <w:t>ESRI (2020) found very high levels of trust of young people in the Irish education system.</w:t>
      </w:r>
    </w:p>
    <w:bookmarkEnd w:id="1"/>
    <w:p w14:paraId="1ECBACDF" w14:textId="77777777" w:rsidR="00DF3151" w:rsidRPr="00CB337C" w:rsidRDefault="00DF3151" w:rsidP="00CB337C">
      <w:pPr>
        <w:autoSpaceDE w:val="0"/>
        <w:autoSpaceDN w:val="0"/>
        <w:adjustRightInd w:val="0"/>
        <w:spacing w:after="0" w:line="360" w:lineRule="auto"/>
        <w:jc w:val="both"/>
        <w:rPr>
          <w:rFonts w:eastAsiaTheme="majorEastAsia" w:cstheme="minorHAnsi"/>
          <w:bCs/>
        </w:rPr>
      </w:pPr>
    </w:p>
    <w:p w14:paraId="02422684" w14:textId="4AD898A7" w:rsidR="00DF3151" w:rsidRPr="00CB337C" w:rsidRDefault="00DF3151" w:rsidP="00CB337C">
      <w:pPr>
        <w:pStyle w:val="PlainText"/>
        <w:spacing w:line="360" w:lineRule="auto"/>
        <w:jc w:val="both"/>
        <w:rPr>
          <w:rFonts w:asciiTheme="minorHAnsi" w:hAnsiTheme="minorHAnsi" w:cstheme="minorHAnsi"/>
          <w:szCs w:val="22"/>
        </w:rPr>
      </w:pPr>
      <w:r w:rsidRPr="00CB337C">
        <w:rPr>
          <w:rFonts w:asciiTheme="minorHAnsi" w:hAnsiTheme="minorHAnsi" w:cstheme="minorHAnsi"/>
          <w:szCs w:val="22"/>
        </w:rPr>
        <w:t>Ireland has a very young population (Eurostat, 2015</w:t>
      </w:r>
      <w:r w:rsidR="0021436E" w:rsidRPr="00CB337C">
        <w:rPr>
          <w:rFonts w:asciiTheme="minorHAnsi" w:hAnsiTheme="minorHAnsi" w:cstheme="minorHAnsi"/>
          <w:szCs w:val="22"/>
        </w:rPr>
        <w:t>; Government of Ireland</w:t>
      </w:r>
      <w:r w:rsidR="008D5F28" w:rsidRPr="00CB337C">
        <w:rPr>
          <w:rFonts w:asciiTheme="minorHAnsi" w:hAnsiTheme="minorHAnsi" w:cstheme="minorHAnsi"/>
          <w:szCs w:val="22"/>
        </w:rPr>
        <w:t>,</w:t>
      </w:r>
      <w:r w:rsidR="0021436E" w:rsidRPr="00CB337C">
        <w:rPr>
          <w:rFonts w:asciiTheme="minorHAnsi" w:hAnsiTheme="minorHAnsi" w:cstheme="minorHAnsi"/>
          <w:szCs w:val="22"/>
        </w:rPr>
        <w:t xml:space="preserve"> 2019</w:t>
      </w:r>
      <w:r w:rsidR="000737B9" w:rsidRPr="00CB337C">
        <w:rPr>
          <w:rFonts w:asciiTheme="minorHAnsi" w:hAnsiTheme="minorHAnsi" w:cstheme="minorHAnsi"/>
          <w:szCs w:val="22"/>
        </w:rPr>
        <w:t>; DCYA, 2020</w:t>
      </w:r>
      <w:r w:rsidRPr="00CB337C">
        <w:rPr>
          <w:rFonts w:asciiTheme="minorHAnsi" w:hAnsiTheme="minorHAnsi" w:cstheme="minorHAnsi"/>
          <w:szCs w:val="22"/>
        </w:rPr>
        <w:t xml:space="preserve">).  In 2008, we had the second highest proportion of </w:t>
      </w:r>
      <w:r w:rsidR="003F2ED9" w:rsidRPr="00CB337C">
        <w:rPr>
          <w:rFonts w:asciiTheme="minorHAnsi" w:hAnsiTheme="minorHAnsi" w:cstheme="minorHAnsi"/>
          <w:szCs w:val="22"/>
        </w:rPr>
        <w:t>10–14-year-olds</w:t>
      </w:r>
      <w:r w:rsidRPr="00CB337C">
        <w:rPr>
          <w:rFonts w:asciiTheme="minorHAnsi" w:hAnsiTheme="minorHAnsi" w:cstheme="minorHAnsi"/>
          <w:szCs w:val="22"/>
        </w:rPr>
        <w:t xml:space="preserve"> in the European Union (CSO, 2009).  The high birth rate in Ireland (CSO, 2017; Eurostat, 2017</w:t>
      </w:r>
      <w:r w:rsidR="0021436E" w:rsidRPr="00CB337C">
        <w:rPr>
          <w:rFonts w:asciiTheme="minorHAnsi" w:hAnsiTheme="minorHAnsi" w:cstheme="minorHAnsi"/>
          <w:szCs w:val="22"/>
        </w:rPr>
        <w:t>; Government of Ireland, 2019</w:t>
      </w:r>
      <w:r w:rsidRPr="00CB337C">
        <w:rPr>
          <w:rFonts w:asciiTheme="minorHAnsi" w:hAnsiTheme="minorHAnsi" w:cstheme="minorHAnsi"/>
          <w:szCs w:val="22"/>
        </w:rPr>
        <w:t>) indicates that the population of young people is likely to remain high for the foreseeable future</w:t>
      </w:r>
      <w:r w:rsidR="00372CB1" w:rsidRPr="00CB337C">
        <w:rPr>
          <w:rFonts w:asciiTheme="minorHAnsi" w:hAnsiTheme="minorHAnsi" w:cstheme="minorHAnsi"/>
          <w:szCs w:val="22"/>
        </w:rPr>
        <w:t xml:space="preserve">. </w:t>
      </w:r>
      <w:r w:rsidRPr="00CB337C">
        <w:rPr>
          <w:rFonts w:asciiTheme="minorHAnsi" w:hAnsiTheme="minorHAnsi" w:cstheme="minorHAnsi"/>
          <w:szCs w:val="22"/>
        </w:rPr>
        <w:t xml:space="preserve"> </w:t>
      </w:r>
      <w:r w:rsidR="005421B5">
        <w:rPr>
          <w:rFonts w:asciiTheme="minorHAnsi" w:hAnsiTheme="minorHAnsi" w:cstheme="minorHAnsi"/>
          <w:szCs w:val="22"/>
        </w:rPr>
        <w:t>The DE (2021</w:t>
      </w:r>
      <w:r w:rsidR="003A6B0B">
        <w:rPr>
          <w:rFonts w:asciiTheme="minorHAnsi" w:hAnsiTheme="minorHAnsi" w:cstheme="minorHAnsi"/>
          <w:szCs w:val="22"/>
        </w:rPr>
        <w:t>a</w:t>
      </w:r>
      <w:r w:rsidR="005421B5">
        <w:rPr>
          <w:rFonts w:asciiTheme="minorHAnsi" w:hAnsiTheme="minorHAnsi" w:cstheme="minorHAnsi"/>
          <w:szCs w:val="22"/>
        </w:rPr>
        <w:t xml:space="preserve">) has estimated that the student population in post-primary will rise by approximately seven thousand students per year until reaching a peak enrolment of c.408k in 2024/25.  </w:t>
      </w:r>
      <w:r w:rsidR="00DB478A" w:rsidRPr="00CB337C">
        <w:rPr>
          <w:rFonts w:asciiTheme="minorHAnsi" w:hAnsiTheme="minorHAnsi" w:cstheme="minorHAnsi"/>
          <w:szCs w:val="22"/>
        </w:rPr>
        <w:t xml:space="preserve">In </w:t>
      </w:r>
      <w:r w:rsidRPr="00CB337C">
        <w:rPr>
          <w:rFonts w:asciiTheme="minorHAnsi" w:hAnsiTheme="minorHAnsi" w:cstheme="minorHAnsi"/>
          <w:szCs w:val="22"/>
        </w:rPr>
        <w:t xml:space="preserve">this context, it is not sufficient to suggest that a world-class child centred society can be achieved with inadequate resources of time, </w:t>
      </w:r>
      <w:proofErr w:type="gramStart"/>
      <w:r w:rsidRPr="00CB337C">
        <w:rPr>
          <w:rFonts w:asciiTheme="minorHAnsi" w:hAnsiTheme="minorHAnsi" w:cstheme="minorHAnsi"/>
          <w:szCs w:val="22"/>
        </w:rPr>
        <w:t>money</w:t>
      </w:r>
      <w:proofErr w:type="gramEnd"/>
      <w:r w:rsidRPr="00CB337C">
        <w:rPr>
          <w:rFonts w:asciiTheme="minorHAnsi" w:hAnsiTheme="minorHAnsi" w:cstheme="minorHAnsi"/>
          <w:szCs w:val="22"/>
        </w:rPr>
        <w:t xml:space="preserve"> or personnel.  </w:t>
      </w:r>
    </w:p>
    <w:p w14:paraId="638484BD" w14:textId="6DE522AB" w:rsidR="00372CB1" w:rsidRPr="00CB337C" w:rsidRDefault="00372CB1" w:rsidP="00CB337C">
      <w:pPr>
        <w:spacing w:after="0" w:line="360" w:lineRule="auto"/>
        <w:jc w:val="both"/>
        <w:rPr>
          <w:rFonts w:cstheme="minorHAnsi"/>
        </w:rPr>
      </w:pPr>
    </w:p>
    <w:p w14:paraId="383004AE" w14:textId="56FAF5D3" w:rsidR="00D1662A" w:rsidRPr="00CB337C" w:rsidRDefault="000E56EB" w:rsidP="00CB337C">
      <w:pPr>
        <w:spacing w:line="360" w:lineRule="auto"/>
        <w:jc w:val="both"/>
        <w:rPr>
          <w:rFonts w:cstheme="minorHAnsi"/>
          <w:b/>
          <w:bCs/>
          <w:u w:val="single"/>
        </w:rPr>
      </w:pPr>
      <w:r w:rsidRPr="00CB337C">
        <w:rPr>
          <w:rFonts w:cstheme="minorHAnsi"/>
          <w:b/>
          <w:bCs/>
          <w:u w:val="single"/>
        </w:rPr>
        <w:t>Importance of STEM Education</w:t>
      </w:r>
    </w:p>
    <w:p w14:paraId="4324C345" w14:textId="0A24CD7A" w:rsidR="00113A30" w:rsidRDefault="00113A30" w:rsidP="00CB337C">
      <w:pPr>
        <w:spacing w:line="360" w:lineRule="auto"/>
        <w:jc w:val="both"/>
        <w:rPr>
          <w:rFonts w:cstheme="minorHAnsi"/>
        </w:rPr>
      </w:pPr>
      <w:r w:rsidRPr="00CB337C">
        <w:rPr>
          <w:rFonts w:cstheme="minorHAnsi"/>
        </w:rPr>
        <w:t xml:space="preserve">Every subject and programme </w:t>
      </w:r>
      <w:proofErr w:type="gramStart"/>
      <w:r w:rsidRPr="00CB337C">
        <w:rPr>
          <w:rFonts w:cstheme="minorHAnsi"/>
        </w:rPr>
        <w:t>has</w:t>
      </w:r>
      <w:proofErr w:type="gramEnd"/>
      <w:r w:rsidRPr="00CB337C">
        <w:rPr>
          <w:rFonts w:cstheme="minorHAnsi"/>
        </w:rPr>
        <w:t xml:space="preserve"> intrinsic value. The post-primary curriculum should continue to be broad-based as this best prepares learners for life and active citizenship, </w:t>
      </w:r>
      <w:r w:rsidR="007E152E">
        <w:rPr>
          <w:rFonts w:cstheme="minorHAnsi"/>
        </w:rPr>
        <w:t xml:space="preserve">and </w:t>
      </w:r>
      <w:r w:rsidRPr="00CB337C">
        <w:rPr>
          <w:rFonts w:cstheme="minorHAnsi"/>
        </w:rPr>
        <w:t xml:space="preserve">best anticipates an ever-changing society where complex challenges, global and personal, abound. From time to time, certain disciplines may be considered especially important – by governments or employers. However, such perceived hierarchies are often transient. Reform of Senior Cycle must be inclusive and cater for all students and their varied talents. </w:t>
      </w:r>
      <w:r w:rsidR="0055559D" w:rsidRPr="00CB337C">
        <w:rPr>
          <w:rFonts w:cstheme="minorHAnsi"/>
        </w:rPr>
        <w:t>Having said that, it is clear from recent testimony to the Oireachtas Committee on Education</w:t>
      </w:r>
      <w:r w:rsidR="00DE796F" w:rsidRPr="00CB337C">
        <w:rPr>
          <w:rFonts w:cstheme="minorHAnsi"/>
        </w:rPr>
        <w:t>, Further and Higher Education, Research, Innovation and Science</w:t>
      </w:r>
      <w:r w:rsidR="0055559D" w:rsidRPr="00CB337C">
        <w:rPr>
          <w:rFonts w:cstheme="minorHAnsi"/>
        </w:rPr>
        <w:t xml:space="preserve"> (November 30</w:t>
      </w:r>
      <w:r w:rsidR="0055559D" w:rsidRPr="00CB337C">
        <w:rPr>
          <w:rFonts w:cstheme="minorHAnsi"/>
          <w:vertAlign w:val="superscript"/>
        </w:rPr>
        <w:t>th</w:t>
      </w:r>
      <w:proofErr w:type="gramStart"/>
      <w:r w:rsidR="0055559D" w:rsidRPr="00CB337C">
        <w:rPr>
          <w:rFonts w:cstheme="minorHAnsi"/>
        </w:rPr>
        <w:t xml:space="preserve"> 2021</w:t>
      </w:r>
      <w:proofErr w:type="gramEnd"/>
      <w:r w:rsidR="0055559D" w:rsidRPr="00CB337C">
        <w:rPr>
          <w:rFonts w:cstheme="minorHAnsi"/>
        </w:rPr>
        <w:t>) that STEM is important to the labour market.  However, we must value STEM education at the same time as valuing all areas of study.</w:t>
      </w:r>
    </w:p>
    <w:p w14:paraId="40EB82BC" w14:textId="26032FBA" w:rsidR="00190FF7" w:rsidRDefault="00190FF7" w:rsidP="00CB337C">
      <w:pPr>
        <w:spacing w:line="360" w:lineRule="auto"/>
        <w:jc w:val="both"/>
        <w:rPr>
          <w:rFonts w:cstheme="minorHAnsi"/>
        </w:rPr>
      </w:pPr>
    </w:p>
    <w:p w14:paraId="634ACCB5" w14:textId="588844F5" w:rsidR="00190FF7" w:rsidRPr="00CB337C" w:rsidRDefault="00190FF7" w:rsidP="00CB337C">
      <w:pPr>
        <w:spacing w:line="360" w:lineRule="auto"/>
        <w:jc w:val="both"/>
        <w:rPr>
          <w:rFonts w:cstheme="minorHAnsi"/>
        </w:rPr>
      </w:pPr>
      <w:r>
        <w:rPr>
          <w:rFonts w:cstheme="minorHAnsi"/>
        </w:rPr>
        <w:t>It should be noted that Ireland has the highest level of STEM graduates of any member of the EU (CSO, 2021).</w:t>
      </w:r>
    </w:p>
    <w:p w14:paraId="3E1FAEFA" w14:textId="77777777" w:rsidR="00113A30" w:rsidRPr="00CB337C" w:rsidRDefault="00113A30" w:rsidP="00CB337C">
      <w:pPr>
        <w:spacing w:line="360" w:lineRule="auto"/>
        <w:jc w:val="both"/>
        <w:rPr>
          <w:rFonts w:cstheme="minorHAnsi"/>
        </w:rPr>
      </w:pPr>
    </w:p>
    <w:p w14:paraId="425CE63A" w14:textId="74641251" w:rsidR="000E56EB" w:rsidRPr="00CB337C" w:rsidRDefault="000E56EB" w:rsidP="00CB337C">
      <w:pPr>
        <w:spacing w:line="360" w:lineRule="auto"/>
        <w:jc w:val="both"/>
        <w:rPr>
          <w:rFonts w:cstheme="minorHAnsi"/>
          <w:b/>
          <w:bCs/>
          <w:u w:val="single"/>
        </w:rPr>
      </w:pPr>
      <w:r w:rsidRPr="00CB337C">
        <w:rPr>
          <w:rFonts w:cstheme="minorHAnsi"/>
          <w:b/>
          <w:bCs/>
          <w:u w:val="single"/>
        </w:rPr>
        <w:t>Learner Engag</w:t>
      </w:r>
      <w:r w:rsidR="004E2163" w:rsidRPr="00CB337C">
        <w:rPr>
          <w:rFonts w:cstheme="minorHAnsi"/>
          <w:b/>
          <w:bCs/>
          <w:u w:val="single"/>
        </w:rPr>
        <w:t>e</w:t>
      </w:r>
      <w:r w:rsidRPr="00CB337C">
        <w:rPr>
          <w:rFonts w:cstheme="minorHAnsi"/>
          <w:b/>
          <w:bCs/>
          <w:u w:val="single"/>
        </w:rPr>
        <w:t>ment</w:t>
      </w:r>
    </w:p>
    <w:p w14:paraId="3CE2EE67" w14:textId="4B0E2ECB" w:rsidR="004E2163" w:rsidRPr="00CB337C" w:rsidRDefault="00DE796F" w:rsidP="00CB337C">
      <w:pPr>
        <w:spacing w:line="360" w:lineRule="auto"/>
        <w:jc w:val="both"/>
        <w:rPr>
          <w:rFonts w:cstheme="minorHAnsi"/>
        </w:rPr>
      </w:pPr>
      <w:r w:rsidRPr="00CB337C">
        <w:rPr>
          <w:rFonts w:cstheme="minorHAnsi"/>
        </w:rPr>
        <w:t xml:space="preserve">Learner engagement with STEM is very high in post-primary, </w:t>
      </w:r>
      <w:proofErr w:type="gramStart"/>
      <w:r w:rsidRPr="00CB337C">
        <w:rPr>
          <w:rFonts w:cstheme="minorHAnsi"/>
        </w:rPr>
        <w:t>FET</w:t>
      </w:r>
      <w:proofErr w:type="gramEnd"/>
      <w:r w:rsidRPr="00CB337C">
        <w:rPr>
          <w:rFonts w:cstheme="minorHAnsi"/>
        </w:rPr>
        <w:t xml:space="preserve"> and higher education.  Schools, colleges of further education and the IoT/TU sector play a key role in this.  An indication of the high </w:t>
      </w:r>
      <w:r w:rsidRPr="00CB337C">
        <w:rPr>
          <w:rFonts w:cstheme="minorHAnsi"/>
        </w:rPr>
        <w:lastRenderedPageBreak/>
        <w:t xml:space="preserve">level of engagement is shown in the following numbers of students who took Leaving Certificate </w:t>
      </w:r>
      <w:r w:rsidR="00F111DD" w:rsidRPr="00CB337C">
        <w:rPr>
          <w:rFonts w:cstheme="minorHAnsi"/>
        </w:rPr>
        <w:t xml:space="preserve">Higher Level </w:t>
      </w:r>
      <w:r w:rsidRPr="00CB337C">
        <w:rPr>
          <w:rFonts w:cstheme="minorHAnsi"/>
        </w:rPr>
        <w:t>exams in STEM subjects</w:t>
      </w:r>
      <w:r w:rsidR="00F8363C" w:rsidRPr="00CB337C">
        <w:rPr>
          <w:rFonts w:cstheme="minorHAnsi"/>
        </w:rPr>
        <w:t xml:space="preserve"> in 2019</w:t>
      </w:r>
      <w:r w:rsidRPr="00CB337C">
        <w:rPr>
          <w:rFonts w:cstheme="minorHAnsi"/>
        </w:rPr>
        <w:t>:</w:t>
      </w:r>
    </w:p>
    <w:p w14:paraId="2FE90058" w14:textId="77777777" w:rsidR="00F8363C" w:rsidRPr="00CB337C" w:rsidRDefault="00F8363C" w:rsidP="00CB337C">
      <w:pPr>
        <w:spacing w:line="360" w:lineRule="auto"/>
        <w:jc w:val="both"/>
        <w:rPr>
          <w:rFonts w:cstheme="minorHAnsi"/>
        </w:rPr>
      </w:pPr>
      <w:r w:rsidRPr="00CB337C">
        <w:rPr>
          <w:rFonts w:cstheme="minorHAnsi"/>
        </w:rPr>
        <w:t>Applied Maths</w:t>
      </w:r>
      <w:r w:rsidRPr="00CB337C">
        <w:rPr>
          <w:rFonts w:cstheme="minorHAnsi"/>
        </w:rPr>
        <w:tab/>
      </w:r>
      <w:r w:rsidRPr="00CB337C">
        <w:rPr>
          <w:rFonts w:cstheme="minorHAnsi"/>
        </w:rPr>
        <w:tab/>
        <w:t>1988</w:t>
      </w:r>
    </w:p>
    <w:p w14:paraId="4CDCA669" w14:textId="211298CA" w:rsidR="00F8363C" w:rsidRPr="00CB337C" w:rsidRDefault="00F8363C" w:rsidP="00CB337C">
      <w:pPr>
        <w:spacing w:line="360" w:lineRule="auto"/>
        <w:jc w:val="both"/>
        <w:rPr>
          <w:rFonts w:cstheme="minorHAnsi"/>
        </w:rPr>
      </w:pPr>
      <w:r w:rsidRPr="00CB337C">
        <w:rPr>
          <w:rFonts w:cstheme="minorHAnsi"/>
        </w:rPr>
        <w:t xml:space="preserve">Physics </w:t>
      </w:r>
      <w:r w:rsidR="00F111DD" w:rsidRPr="00CB337C">
        <w:rPr>
          <w:rFonts w:cstheme="minorHAnsi"/>
        </w:rPr>
        <w:tab/>
      </w:r>
      <w:r w:rsidR="00F111DD" w:rsidRPr="00CB337C">
        <w:rPr>
          <w:rFonts w:cstheme="minorHAnsi"/>
        </w:rPr>
        <w:tab/>
      </w:r>
      <w:r w:rsidR="007E152E">
        <w:rPr>
          <w:rFonts w:cstheme="minorHAnsi"/>
        </w:rPr>
        <w:tab/>
      </w:r>
      <w:r w:rsidRPr="00CB337C">
        <w:rPr>
          <w:rFonts w:cstheme="minorHAnsi"/>
        </w:rPr>
        <w:t>6583</w:t>
      </w:r>
    </w:p>
    <w:p w14:paraId="11537F31" w14:textId="77777777" w:rsidR="00F8363C" w:rsidRPr="00CB337C" w:rsidRDefault="00F8363C" w:rsidP="00CB337C">
      <w:pPr>
        <w:spacing w:line="360" w:lineRule="auto"/>
        <w:jc w:val="both"/>
        <w:rPr>
          <w:rFonts w:cstheme="minorHAnsi"/>
        </w:rPr>
      </w:pPr>
      <w:r w:rsidRPr="00CB337C">
        <w:rPr>
          <w:rFonts w:cstheme="minorHAnsi"/>
        </w:rPr>
        <w:t>Chemistry</w:t>
      </w:r>
      <w:r w:rsidRPr="00CB337C">
        <w:rPr>
          <w:rFonts w:cstheme="minorHAnsi"/>
        </w:rPr>
        <w:tab/>
      </w:r>
      <w:r w:rsidRPr="00CB337C">
        <w:rPr>
          <w:rFonts w:cstheme="minorHAnsi"/>
        </w:rPr>
        <w:tab/>
        <w:t>8244</w:t>
      </w:r>
    </w:p>
    <w:p w14:paraId="0DEC6D0C" w14:textId="77777777" w:rsidR="00F111DD" w:rsidRPr="00CB337C" w:rsidRDefault="00F111DD" w:rsidP="00CB337C">
      <w:pPr>
        <w:spacing w:line="360" w:lineRule="auto"/>
        <w:jc w:val="both"/>
        <w:rPr>
          <w:rFonts w:cstheme="minorHAnsi"/>
        </w:rPr>
      </w:pPr>
      <w:r w:rsidRPr="00CB337C">
        <w:rPr>
          <w:rFonts w:cstheme="minorHAnsi"/>
        </w:rPr>
        <w:t>Phys/Chem</w:t>
      </w:r>
      <w:r w:rsidRPr="00CB337C">
        <w:rPr>
          <w:rFonts w:cstheme="minorHAnsi"/>
        </w:rPr>
        <w:tab/>
      </w:r>
      <w:r w:rsidRPr="00CB337C">
        <w:rPr>
          <w:rFonts w:cstheme="minorHAnsi"/>
        </w:rPr>
        <w:tab/>
        <w:t>464</w:t>
      </w:r>
    </w:p>
    <w:p w14:paraId="6DA91240" w14:textId="77777777" w:rsidR="00F111DD" w:rsidRPr="00CB337C" w:rsidRDefault="00F111DD" w:rsidP="00CB337C">
      <w:pPr>
        <w:spacing w:line="360" w:lineRule="auto"/>
        <w:jc w:val="both"/>
        <w:rPr>
          <w:rFonts w:cstheme="minorHAnsi"/>
        </w:rPr>
      </w:pPr>
      <w:r w:rsidRPr="00CB337C">
        <w:rPr>
          <w:rFonts w:cstheme="minorHAnsi"/>
        </w:rPr>
        <w:t xml:space="preserve">Agricultural Science </w:t>
      </w:r>
      <w:r w:rsidRPr="00CB337C">
        <w:rPr>
          <w:rFonts w:cstheme="minorHAnsi"/>
        </w:rPr>
        <w:tab/>
        <w:t>6605</w:t>
      </w:r>
    </w:p>
    <w:p w14:paraId="2DBBA36B" w14:textId="617C3846" w:rsidR="00F111DD" w:rsidRPr="00CB337C" w:rsidRDefault="00F111DD" w:rsidP="00CB337C">
      <w:pPr>
        <w:spacing w:line="360" w:lineRule="auto"/>
        <w:jc w:val="both"/>
        <w:rPr>
          <w:rFonts w:cstheme="minorHAnsi"/>
        </w:rPr>
      </w:pPr>
      <w:r w:rsidRPr="00CB337C">
        <w:rPr>
          <w:rFonts w:cstheme="minorHAnsi"/>
        </w:rPr>
        <w:t xml:space="preserve">Biology </w:t>
      </w:r>
      <w:r w:rsidRPr="00CB337C">
        <w:rPr>
          <w:rFonts w:cstheme="minorHAnsi"/>
        </w:rPr>
        <w:tab/>
      </w:r>
      <w:r w:rsidRPr="00CB337C">
        <w:rPr>
          <w:rFonts w:cstheme="minorHAnsi"/>
        </w:rPr>
        <w:tab/>
      </w:r>
      <w:r w:rsidR="007E152E">
        <w:rPr>
          <w:rFonts w:cstheme="minorHAnsi"/>
        </w:rPr>
        <w:tab/>
      </w:r>
      <w:r w:rsidRPr="00CB337C">
        <w:rPr>
          <w:rFonts w:cstheme="minorHAnsi"/>
        </w:rPr>
        <w:t>27063</w:t>
      </w:r>
    </w:p>
    <w:p w14:paraId="2BF8D629" w14:textId="39D6DA82" w:rsidR="00F111DD" w:rsidRPr="00CB337C" w:rsidRDefault="00F111DD" w:rsidP="00CB337C">
      <w:pPr>
        <w:spacing w:line="360" w:lineRule="auto"/>
        <w:jc w:val="both"/>
        <w:rPr>
          <w:rFonts w:cstheme="minorHAnsi"/>
        </w:rPr>
      </w:pPr>
      <w:r w:rsidRPr="00CB337C">
        <w:rPr>
          <w:rFonts w:cstheme="minorHAnsi"/>
        </w:rPr>
        <w:t xml:space="preserve">Engineering </w:t>
      </w:r>
      <w:r w:rsidRPr="00CB337C">
        <w:rPr>
          <w:rFonts w:cstheme="minorHAnsi"/>
        </w:rPr>
        <w:tab/>
      </w:r>
      <w:r w:rsidRPr="00CB337C">
        <w:rPr>
          <w:rFonts w:cstheme="minorHAnsi"/>
        </w:rPr>
        <w:tab/>
        <w:t>4765</w:t>
      </w:r>
    </w:p>
    <w:p w14:paraId="26BA4561" w14:textId="028972D7" w:rsidR="00F111DD" w:rsidRPr="00CB337C" w:rsidRDefault="00F111DD" w:rsidP="00CB337C">
      <w:pPr>
        <w:spacing w:line="360" w:lineRule="auto"/>
        <w:jc w:val="both"/>
        <w:rPr>
          <w:rFonts w:cstheme="minorHAnsi"/>
        </w:rPr>
      </w:pPr>
      <w:r w:rsidRPr="00CB337C">
        <w:rPr>
          <w:rFonts w:cstheme="minorHAnsi"/>
        </w:rPr>
        <w:t xml:space="preserve">Constriction Studies </w:t>
      </w:r>
      <w:r w:rsidRPr="00CB337C">
        <w:rPr>
          <w:rFonts w:cstheme="minorHAnsi"/>
        </w:rPr>
        <w:tab/>
        <w:t>7896</w:t>
      </w:r>
    </w:p>
    <w:p w14:paraId="6AEAAAB9" w14:textId="78E8A72F" w:rsidR="00F111DD" w:rsidRPr="00CB337C" w:rsidRDefault="00F111DD" w:rsidP="00CB337C">
      <w:pPr>
        <w:spacing w:line="360" w:lineRule="auto"/>
        <w:jc w:val="both"/>
        <w:rPr>
          <w:rFonts w:cstheme="minorHAnsi"/>
        </w:rPr>
      </w:pPr>
      <w:r w:rsidRPr="00CB337C">
        <w:rPr>
          <w:rFonts w:cstheme="minorHAnsi"/>
        </w:rPr>
        <w:t xml:space="preserve">Technology </w:t>
      </w:r>
      <w:r w:rsidRPr="00CB337C">
        <w:rPr>
          <w:rFonts w:cstheme="minorHAnsi"/>
        </w:rPr>
        <w:tab/>
      </w:r>
      <w:r w:rsidRPr="00CB337C">
        <w:rPr>
          <w:rFonts w:cstheme="minorHAnsi"/>
        </w:rPr>
        <w:tab/>
        <w:t>1695</w:t>
      </w:r>
    </w:p>
    <w:p w14:paraId="27C3D5B1" w14:textId="7587CCCA" w:rsidR="00F111DD" w:rsidRDefault="00F111DD" w:rsidP="00CB337C">
      <w:pPr>
        <w:spacing w:line="360" w:lineRule="auto"/>
        <w:jc w:val="both"/>
        <w:rPr>
          <w:rFonts w:cstheme="minorHAnsi"/>
        </w:rPr>
      </w:pPr>
      <w:r w:rsidRPr="00CB337C">
        <w:rPr>
          <w:rFonts w:cstheme="minorHAnsi"/>
        </w:rPr>
        <w:t>DCG</w:t>
      </w:r>
      <w:r w:rsidRPr="00CB337C">
        <w:rPr>
          <w:rFonts w:cstheme="minorHAnsi"/>
        </w:rPr>
        <w:tab/>
      </w:r>
      <w:r w:rsidRPr="00CB337C">
        <w:rPr>
          <w:rFonts w:cstheme="minorHAnsi"/>
        </w:rPr>
        <w:tab/>
      </w:r>
      <w:r w:rsidRPr="00CB337C">
        <w:rPr>
          <w:rFonts w:cstheme="minorHAnsi"/>
        </w:rPr>
        <w:tab/>
        <w:t>4566</w:t>
      </w:r>
    </w:p>
    <w:p w14:paraId="75C848C8" w14:textId="6CA74578" w:rsidR="007E152E" w:rsidRPr="00CB337C" w:rsidRDefault="007E152E" w:rsidP="00CB337C">
      <w:pPr>
        <w:spacing w:line="360" w:lineRule="auto"/>
        <w:jc w:val="both"/>
        <w:rPr>
          <w:rFonts w:cstheme="minorHAnsi"/>
        </w:rPr>
      </w:pPr>
      <w:r>
        <w:rPr>
          <w:rFonts w:cstheme="minorHAnsi"/>
        </w:rPr>
        <w:t>Maths</w:t>
      </w:r>
      <w:r>
        <w:rPr>
          <w:rFonts w:cstheme="minorHAnsi"/>
        </w:rPr>
        <w:tab/>
      </w:r>
      <w:r>
        <w:rPr>
          <w:rFonts w:cstheme="minorHAnsi"/>
        </w:rPr>
        <w:tab/>
      </w:r>
      <w:r>
        <w:rPr>
          <w:rFonts w:cstheme="minorHAnsi"/>
        </w:rPr>
        <w:tab/>
        <w:t>18153</w:t>
      </w:r>
    </w:p>
    <w:p w14:paraId="3FF9735F" w14:textId="009B8C94" w:rsidR="00F111DD" w:rsidRDefault="00F111DD" w:rsidP="00CB337C">
      <w:pPr>
        <w:spacing w:line="360" w:lineRule="auto"/>
        <w:jc w:val="both"/>
        <w:rPr>
          <w:rFonts w:cstheme="minorHAnsi"/>
        </w:rPr>
      </w:pPr>
    </w:p>
    <w:p w14:paraId="6A6CC8C7" w14:textId="625DFBF7" w:rsidR="005421B5" w:rsidRDefault="005421B5" w:rsidP="00CB337C">
      <w:pPr>
        <w:spacing w:line="360" w:lineRule="auto"/>
        <w:jc w:val="both"/>
        <w:rPr>
          <w:rFonts w:cstheme="minorHAnsi"/>
        </w:rPr>
      </w:pPr>
      <w:r>
        <w:rPr>
          <w:rFonts w:cstheme="minorHAnsi"/>
        </w:rPr>
        <w:t>It is interesting to note that DE (2021b) found that in 2020 90% of male sixth year students took one or more STEM subjects (excluding Maths) compared to 86% of female sixth year students.</w:t>
      </w:r>
      <w:r w:rsidR="003A6B0B">
        <w:rPr>
          <w:rFonts w:cstheme="minorHAnsi"/>
        </w:rPr>
        <w:t xml:space="preserve">  The gap is considerably wider when we look at the proportion of sixth year students who took two or more STEM subjects (excluding Maths).  In that case 58% of male students and only 34% of female students took two or more STEM subjects.  Much of the gap is explained by the fact that 83% of female sixth year students took one or more foreign languages in 2020 compared to just 66% of their male peers.</w:t>
      </w:r>
    </w:p>
    <w:p w14:paraId="4A982BE4" w14:textId="77777777" w:rsidR="003A6B0B" w:rsidRPr="00CB337C" w:rsidRDefault="003A6B0B" w:rsidP="00CB337C">
      <w:pPr>
        <w:spacing w:line="360" w:lineRule="auto"/>
        <w:jc w:val="both"/>
        <w:rPr>
          <w:rFonts w:cstheme="minorHAnsi"/>
        </w:rPr>
      </w:pPr>
    </w:p>
    <w:p w14:paraId="560ED413" w14:textId="18CDB58B" w:rsidR="00F8363C" w:rsidRPr="00CB337C" w:rsidRDefault="00F8363C" w:rsidP="00CB337C">
      <w:pPr>
        <w:spacing w:line="360" w:lineRule="auto"/>
        <w:jc w:val="both"/>
        <w:rPr>
          <w:rFonts w:cstheme="minorHAnsi"/>
        </w:rPr>
      </w:pPr>
      <w:r w:rsidRPr="00CB337C">
        <w:rPr>
          <w:rFonts w:cstheme="minorHAnsi"/>
        </w:rPr>
        <w:t>The TU</w:t>
      </w:r>
      <w:r w:rsidR="00F111DD" w:rsidRPr="00CB337C">
        <w:rPr>
          <w:rFonts w:cstheme="minorHAnsi"/>
        </w:rPr>
        <w:t>I</w:t>
      </w:r>
      <w:r w:rsidRPr="00CB337C">
        <w:rPr>
          <w:rFonts w:cstheme="minorHAnsi"/>
        </w:rPr>
        <w:t xml:space="preserve"> notes the current uncertainty about the future of the combined Phys/Chem course and would welcome confirmation from the DE that this course, which is popular </w:t>
      </w:r>
      <w:r w:rsidR="00F111DD" w:rsidRPr="00CB337C">
        <w:rPr>
          <w:rFonts w:cstheme="minorHAnsi"/>
        </w:rPr>
        <w:t xml:space="preserve">especially </w:t>
      </w:r>
      <w:r w:rsidRPr="00CB337C">
        <w:rPr>
          <w:rFonts w:cstheme="minorHAnsi"/>
        </w:rPr>
        <w:t>with small schools which do not have enough stud</w:t>
      </w:r>
      <w:r w:rsidR="00F111DD" w:rsidRPr="00CB337C">
        <w:rPr>
          <w:rFonts w:cstheme="minorHAnsi"/>
        </w:rPr>
        <w:t>e</w:t>
      </w:r>
      <w:r w:rsidRPr="00CB337C">
        <w:rPr>
          <w:rFonts w:cstheme="minorHAnsi"/>
        </w:rPr>
        <w:t xml:space="preserve">nts to provide two separate courses, will </w:t>
      </w:r>
      <w:proofErr w:type="gramStart"/>
      <w:r w:rsidRPr="00CB337C">
        <w:rPr>
          <w:rFonts w:cstheme="minorHAnsi"/>
        </w:rPr>
        <w:t>continue into the future</w:t>
      </w:r>
      <w:proofErr w:type="gramEnd"/>
      <w:r w:rsidRPr="00CB337C">
        <w:rPr>
          <w:rFonts w:cstheme="minorHAnsi"/>
        </w:rPr>
        <w:t>.</w:t>
      </w:r>
    </w:p>
    <w:p w14:paraId="05758D75" w14:textId="77777777" w:rsidR="00F111DD" w:rsidRPr="00CB337C" w:rsidRDefault="00F111DD" w:rsidP="00CB337C">
      <w:pPr>
        <w:spacing w:line="360" w:lineRule="auto"/>
        <w:jc w:val="both"/>
        <w:rPr>
          <w:rFonts w:cstheme="minorHAnsi"/>
        </w:rPr>
      </w:pPr>
    </w:p>
    <w:p w14:paraId="095AD5FC" w14:textId="608E1E51" w:rsidR="00DE796F" w:rsidRPr="00CB337C" w:rsidRDefault="00DE796F" w:rsidP="00CB337C">
      <w:pPr>
        <w:spacing w:line="360" w:lineRule="auto"/>
        <w:jc w:val="both"/>
        <w:rPr>
          <w:rFonts w:cstheme="minorHAnsi"/>
        </w:rPr>
      </w:pPr>
      <w:r w:rsidRPr="00CB337C">
        <w:rPr>
          <w:rFonts w:cstheme="minorHAnsi"/>
        </w:rPr>
        <w:t>The high level of engagement is testimony to the fine work done by teachers and lecturers in encouraging curiosity and critical thinking in education.  It is also facilitated by the fact that students in Ireland tradit</w:t>
      </w:r>
      <w:r w:rsidR="00F8363C" w:rsidRPr="00CB337C">
        <w:rPr>
          <w:rFonts w:cstheme="minorHAnsi"/>
        </w:rPr>
        <w:t>i</w:t>
      </w:r>
      <w:r w:rsidRPr="00CB337C">
        <w:rPr>
          <w:rFonts w:cstheme="minorHAnsi"/>
        </w:rPr>
        <w:t xml:space="preserve">onally take approximately seven Leaving Certificate subjects, thereby enabling a broad </w:t>
      </w:r>
      <w:r w:rsidRPr="00CB337C">
        <w:rPr>
          <w:rFonts w:cstheme="minorHAnsi"/>
        </w:rPr>
        <w:lastRenderedPageBreak/>
        <w:t xml:space="preserve">range of study.  It would </w:t>
      </w:r>
      <w:r w:rsidR="00F8363C" w:rsidRPr="00CB337C">
        <w:rPr>
          <w:rFonts w:cstheme="minorHAnsi"/>
        </w:rPr>
        <w:t>be</w:t>
      </w:r>
      <w:r w:rsidRPr="00CB337C">
        <w:rPr>
          <w:rFonts w:cstheme="minorHAnsi"/>
        </w:rPr>
        <w:t xml:space="preserve"> a mistake for the forthcoming Senior Cyc</w:t>
      </w:r>
      <w:r w:rsidR="00F8363C" w:rsidRPr="00CB337C">
        <w:rPr>
          <w:rFonts w:cstheme="minorHAnsi"/>
        </w:rPr>
        <w:t>l</w:t>
      </w:r>
      <w:r w:rsidRPr="00CB337C">
        <w:rPr>
          <w:rFonts w:cstheme="minorHAnsi"/>
        </w:rPr>
        <w:t xml:space="preserve">e review to reduce the range of </w:t>
      </w:r>
      <w:proofErr w:type="gramStart"/>
      <w:r w:rsidRPr="00CB337C">
        <w:rPr>
          <w:rFonts w:cstheme="minorHAnsi"/>
        </w:rPr>
        <w:t>subjects</w:t>
      </w:r>
      <w:proofErr w:type="gramEnd"/>
      <w:r w:rsidRPr="00CB337C">
        <w:rPr>
          <w:rFonts w:cstheme="minorHAnsi"/>
        </w:rPr>
        <w:t xml:space="preserve"> choices available to students.  </w:t>
      </w:r>
      <w:proofErr w:type="gramStart"/>
      <w:r w:rsidRPr="00CB337C">
        <w:rPr>
          <w:rFonts w:cstheme="minorHAnsi"/>
        </w:rPr>
        <w:t>Indeed</w:t>
      </w:r>
      <w:proofErr w:type="gramEnd"/>
      <w:r w:rsidRPr="00CB337C">
        <w:rPr>
          <w:rFonts w:cstheme="minorHAnsi"/>
        </w:rPr>
        <w:t xml:space="preserve"> the TU</w:t>
      </w:r>
      <w:r w:rsidR="00F8363C" w:rsidRPr="00CB337C">
        <w:rPr>
          <w:rFonts w:cstheme="minorHAnsi"/>
        </w:rPr>
        <w:t>I</w:t>
      </w:r>
      <w:r w:rsidRPr="00CB337C">
        <w:rPr>
          <w:rFonts w:cstheme="minorHAnsi"/>
        </w:rPr>
        <w:t xml:space="preserve"> believes that schools should be resourced to provide a greater range of overall subjects and subject levels so that students, especially in small DEIS schools, can have as much choice of subjects and levels as students in large fee-paying schools</w:t>
      </w:r>
      <w:r w:rsidR="00412EB6">
        <w:rPr>
          <w:rFonts w:cstheme="minorHAnsi"/>
        </w:rPr>
        <w:t>, within the overall framework of approximately seven subjects for examination purposes</w:t>
      </w:r>
      <w:r w:rsidRPr="00CB337C">
        <w:rPr>
          <w:rFonts w:cstheme="minorHAnsi"/>
        </w:rPr>
        <w:t>.</w:t>
      </w:r>
      <w:r w:rsidR="00F8363C" w:rsidRPr="00CB337C">
        <w:rPr>
          <w:rFonts w:cstheme="minorHAnsi"/>
        </w:rPr>
        <w:t xml:space="preserve">  High levels of engagement are also facilitated by</w:t>
      </w:r>
      <w:r w:rsidRPr="00CB337C">
        <w:rPr>
          <w:rFonts w:cstheme="minorHAnsi"/>
        </w:rPr>
        <w:t xml:space="preserve"> the roll-out of new subjects to the Senior Cycle curriculum s</w:t>
      </w:r>
      <w:r w:rsidR="00F8363C" w:rsidRPr="00CB337C">
        <w:rPr>
          <w:rFonts w:cstheme="minorHAnsi"/>
        </w:rPr>
        <w:t>u</w:t>
      </w:r>
      <w:r w:rsidRPr="00CB337C">
        <w:rPr>
          <w:rFonts w:cstheme="minorHAnsi"/>
        </w:rPr>
        <w:t>ch as Computer Science.</w:t>
      </w:r>
      <w:r w:rsidR="00F8363C" w:rsidRPr="00CB337C">
        <w:rPr>
          <w:rFonts w:cstheme="minorHAnsi"/>
        </w:rPr>
        <w:t xml:space="preserve">  The TUI cautions against too much emphasis being placed on the ability and willingness of the business/science community to support schools.  Whilst very welcome, such support is often conditional on commercial interests being met.  It is also often only available to some schools in some areas.  This is not equitable or reliable for all schools.</w:t>
      </w:r>
    </w:p>
    <w:p w14:paraId="70F90F2F" w14:textId="77777777" w:rsidR="00113A30" w:rsidRPr="00CB337C" w:rsidRDefault="00113A30" w:rsidP="00CB337C">
      <w:pPr>
        <w:spacing w:line="360" w:lineRule="auto"/>
        <w:jc w:val="both"/>
        <w:rPr>
          <w:rFonts w:cstheme="minorHAnsi"/>
          <w:b/>
          <w:bCs/>
          <w:u w:val="single"/>
        </w:rPr>
      </w:pPr>
    </w:p>
    <w:p w14:paraId="64BB7188" w14:textId="608888E8" w:rsidR="000E56EB" w:rsidRPr="00CB337C" w:rsidRDefault="000E56EB" w:rsidP="00CB337C">
      <w:pPr>
        <w:spacing w:line="360" w:lineRule="auto"/>
        <w:jc w:val="both"/>
        <w:rPr>
          <w:rFonts w:cstheme="minorHAnsi"/>
          <w:b/>
          <w:bCs/>
          <w:u w:val="single"/>
        </w:rPr>
      </w:pPr>
      <w:r w:rsidRPr="00CB337C">
        <w:rPr>
          <w:rFonts w:cstheme="minorHAnsi"/>
          <w:b/>
          <w:bCs/>
          <w:u w:val="single"/>
        </w:rPr>
        <w:t>Teacher C</w:t>
      </w:r>
      <w:r w:rsidR="004E2163" w:rsidRPr="00CB337C">
        <w:rPr>
          <w:rFonts w:cstheme="minorHAnsi"/>
          <w:b/>
          <w:bCs/>
          <w:u w:val="single"/>
        </w:rPr>
        <w:t>ap</w:t>
      </w:r>
      <w:r w:rsidR="00F43294" w:rsidRPr="00CB337C">
        <w:rPr>
          <w:rFonts w:cstheme="minorHAnsi"/>
          <w:b/>
          <w:bCs/>
          <w:u w:val="single"/>
        </w:rPr>
        <w:t>a</w:t>
      </w:r>
      <w:r w:rsidRPr="00CB337C">
        <w:rPr>
          <w:rFonts w:cstheme="minorHAnsi"/>
          <w:b/>
          <w:bCs/>
          <w:u w:val="single"/>
        </w:rPr>
        <w:t>c</w:t>
      </w:r>
      <w:r w:rsidR="004E2163" w:rsidRPr="00CB337C">
        <w:rPr>
          <w:rFonts w:cstheme="minorHAnsi"/>
          <w:b/>
          <w:bCs/>
          <w:u w:val="single"/>
        </w:rPr>
        <w:t>i</w:t>
      </w:r>
      <w:r w:rsidRPr="00CB337C">
        <w:rPr>
          <w:rFonts w:cstheme="minorHAnsi"/>
          <w:b/>
          <w:bCs/>
          <w:u w:val="single"/>
        </w:rPr>
        <w:t>ty</w:t>
      </w:r>
    </w:p>
    <w:p w14:paraId="64E9B8AA" w14:textId="1F2E9B5D" w:rsidR="004E2163" w:rsidRPr="00CB337C" w:rsidRDefault="00F111DD" w:rsidP="00CB337C">
      <w:pPr>
        <w:spacing w:line="360" w:lineRule="auto"/>
        <w:jc w:val="both"/>
        <w:rPr>
          <w:rFonts w:cstheme="minorHAnsi"/>
        </w:rPr>
      </w:pPr>
      <w:r w:rsidRPr="00CB337C">
        <w:rPr>
          <w:rFonts w:cstheme="minorHAnsi"/>
        </w:rPr>
        <w:t>It is vitally important that CPD be provided to teachers by the DE and its agencies.  Whilst CPD provided by other organisations is welcome, it often comes ‘with strings attached’ in the form of commercial interest</w:t>
      </w:r>
      <w:r w:rsidR="000F18A5">
        <w:rPr>
          <w:rFonts w:cstheme="minorHAnsi"/>
        </w:rPr>
        <w:t>s</w:t>
      </w:r>
      <w:r w:rsidRPr="00CB337C">
        <w:rPr>
          <w:rFonts w:cstheme="minorHAnsi"/>
        </w:rPr>
        <w:t xml:space="preserve"> either directly or indirectly.  </w:t>
      </w:r>
      <w:r w:rsidR="006759EE" w:rsidRPr="00CB337C">
        <w:rPr>
          <w:rFonts w:cstheme="minorHAnsi"/>
        </w:rPr>
        <w:t xml:space="preserve">Furthermore, pedagogical improvement is facilitated by CPD being provided by qualified teacher educators within school time </w:t>
      </w:r>
      <w:proofErr w:type="gramStart"/>
      <w:r w:rsidR="006759EE" w:rsidRPr="00CB337C">
        <w:rPr>
          <w:rFonts w:cstheme="minorHAnsi"/>
        </w:rPr>
        <w:t>so as to</w:t>
      </w:r>
      <w:proofErr w:type="gramEnd"/>
      <w:r w:rsidR="006759EE" w:rsidRPr="00CB337C">
        <w:rPr>
          <w:rFonts w:cstheme="minorHAnsi"/>
        </w:rPr>
        <w:t xml:space="preserve"> enable meaningful engagement amongst participants.</w:t>
      </w:r>
    </w:p>
    <w:p w14:paraId="0B2BEEB0" w14:textId="77777777" w:rsidR="006759EE" w:rsidRPr="00CB337C" w:rsidRDefault="006759EE" w:rsidP="00CB337C">
      <w:pPr>
        <w:spacing w:line="360" w:lineRule="auto"/>
        <w:jc w:val="both"/>
        <w:rPr>
          <w:rFonts w:cstheme="minorHAnsi"/>
        </w:rPr>
      </w:pPr>
    </w:p>
    <w:p w14:paraId="193B591C" w14:textId="79CC99A6" w:rsidR="00113A30" w:rsidRDefault="00496A64" w:rsidP="00CB337C">
      <w:pPr>
        <w:spacing w:line="360" w:lineRule="auto"/>
        <w:jc w:val="both"/>
        <w:rPr>
          <w:rFonts w:cstheme="minorHAnsi"/>
        </w:rPr>
      </w:pPr>
      <w:r w:rsidRPr="00CB337C">
        <w:rPr>
          <w:rFonts w:cstheme="minorHAnsi"/>
        </w:rPr>
        <w:t xml:space="preserve">Schools rely on support agencies, especially when working with students experiencing crisis. However, schools often find it difficult to access support, as the agencies themselves are under pressure. Most schools make every effort to create an inclusive environment for all learners, regardless of background or aptitudes. Targeted investment - especially more teachers to reduce class size - would greatly assist this effort. The depletion of middle management posts (since 2009) has resulted in a damaging reduction in supports for students. </w:t>
      </w:r>
      <w:r w:rsidR="00F81BE4">
        <w:rPr>
          <w:rFonts w:cstheme="minorHAnsi"/>
        </w:rPr>
        <w:t xml:space="preserve">The DES has itself described the current paucity of middle management posts as “unsustainable” (DES, 2018c).  </w:t>
      </w:r>
      <w:r w:rsidRPr="00CB337C">
        <w:rPr>
          <w:rFonts w:cstheme="minorHAnsi"/>
        </w:rPr>
        <w:t>The extra teachers provided to schools during the COVID-19 crisis should be retained to enable schools to provide subject and programme choice at the appropriate levels and to ensure student well-being</w:t>
      </w:r>
      <w:r w:rsidR="007D6F64">
        <w:rPr>
          <w:rFonts w:cstheme="minorHAnsi"/>
        </w:rPr>
        <w:t>.</w:t>
      </w:r>
    </w:p>
    <w:p w14:paraId="3C48CF6B" w14:textId="504A19E8" w:rsidR="007D6F64" w:rsidRDefault="007D6F64" w:rsidP="00CB337C">
      <w:pPr>
        <w:spacing w:line="360" w:lineRule="auto"/>
        <w:jc w:val="both"/>
        <w:rPr>
          <w:rFonts w:cstheme="minorHAnsi"/>
        </w:rPr>
      </w:pPr>
    </w:p>
    <w:p w14:paraId="45D0B18C" w14:textId="068BDFC7" w:rsidR="007D6F64" w:rsidRPr="00CB337C" w:rsidRDefault="007D6F64" w:rsidP="00CB337C">
      <w:pPr>
        <w:spacing w:line="360" w:lineRule="auto"/>
        <w:jc w:val="both"/>
        <w:rPr>
          <w:rFonts w:cstheme="minorHAnsi"/>
        </w:rPr>
      </w:pPr>
      <w:r>
        <w:rPr>
          <w:rFonts w:cstheme="minorHAnsi"/>
        </w:rPr>
        <w:t xml:space="preserve">There is widespread recognition of a teacher supply crisis.  </w:t>
      </w:r>
      <w:r w:rsidR="00F03461">
        <w:rPr>
          <w:rFonts w:cstheme="minorHAnsi"/>
        </w:rPr>
        <w:t xml:space="preserve">Student numbers in both post-primary and further and higher education are expected to rise significantly in the coming years (DES, 2018d; DES, 2012) thereby increasing the need for a supply of qualified and well-paid teachers and lecturers.  </w:t>
      </w:r>
      <w:r>
        <w:rPr>
          <w:rFonts w:cstheme="minorHAnsi"/>
        </w:rPr>
        <w:t xml:space="preserve">The TUI has long made clear that the evidence points to discriminatory pay rates being responsible for this </w:t>
      </w:r>
      <w:r>
        <w:rPr>
          <w:rFonts w:cstheme="minorHAnsi"/>
        </w:rPr>
        <w:lastRenderedPageBreak/>
        <w:t>(see TUI (201</w:t>
      </w:r>
      <w:r w:rsidR="00374689">
        <w:rPr>
          <w:rFonts w:cstheme="minorHAnsi"/>
        </w:rPr>
        <w:t>8</w:t>
      </w:r>
      <w:r>
        <w:rPr>
          <w:rFonts w:cstheme="minorHAnsi"/>
        </w:rPr>
        <w:t xml:space="preserve">) for example).  In the STEM area, the DE itself has recognised a difficulty of ‘out of field teachers’ </w:t>
      </w:r>
      <w:r w:rsidR="00374689">
        <w:rPr>
          <w:rFonts w:cstheme="minorHAnsi"/>
        </w:rPr>
        <w:t>(DES, 2016).</w:t>
      </w:r>
    </w:p>
    <w:p w14:paraId="153A8F26" w14:textId="77777777" w:rsidR="00496A64" w:rsidRPr="00CB337C" w:rsidRDefault="00496A64" w:rsidP="00CB337C">
      <w:pPr>
        <w:spacing w:line="360" w:lineRule="auto"/>
        <w:jc w:val="both"/>
        <w:rPr>
          <w:rFonts w:cstheme="minorHAnsi"/>
          <w:b/>
          <w:bCs/>
          <w:u w:val="single"/>
        </w:rPr>
      </w:pPr>
    </w:p>
    <w:p w14:paraId="57C0D85D" w14:textId="40083087" w:rsidR="00273D34" w:rsidRPr="00CB337C" w:rsidRDefault="00D1662A" w:rsidP="00CB337C">
      <w:pPr>
        <w:spacing w:line="360" w:lineRule="auto"/>
        <w:jc w:val="both"/>
        <w:rPr>
          <w:rFonts w:cstheme="minorHAnsi"/>
          <w:b/>
          <w:bCs/>
          <w:u w:val="single"/>
        </w:rPr>
      </w:pPr>
      <w:r w:rsidRPr="00CB337C">
        <w:rPr>
          <w:rFonts w:cstheme="minorHAnsi"/>
          <w:b/>
          <w:bCs/>
          <w:u w:val="single"/>
        </w:rPr>
        <w:t>Senior Cycle Review</w:t>
      </w:r>
    </w:p>
    <w:p w14:paraId="59D314BB" w14:textId="59C9EE6F" w:rsidR="00496A64" w:rsidRPr="00CB337C" w:rsidRDefault="00113A30" w:rsidP="00CB337C">
      <w:pPr>
        <w:spacing w:line="360" w:lineRule="auto"/>
        <w:jc w:val="both"/>
        <w:rPr>
          <w:rFonts w:cstheme="minorHAnsi"/>
        </w:rPr>
      </w:pPr>
      <w:r w:rsidRPr="00CB337C">
        <w:rPr>
          <w:rFonts w:cstheme="minorHAnsi"/>
        </w:rPr>
        <w:t>T</w:t>
      </w:r>
      <w:r w:rsidR="00BE3F22" w:rsidRPr="00CB337C">
        <w:rPr>
          <w:rFonts w:cstheme="minorHAnsi"/>
        </w:rPr>
        <w:t xml:space="preserve">he TUI hopes that the forthcoming </w:t>
      </w:r>
      <w:r w:rsidR="000F18A5">
        <w:rPr>
          <w:rFonts w:cstheme="minorHAnsi"/>
        </w:rPr>
        <w:t xml:space="preserve">NCCA </w:t>
      </w:r>
      <w:r w:rsidR="00BE3F22" w:rsidRPr="00CB337C">
        <w:rPr>
          <w:rFonts w:cstheme="minorHAnsi"/>
        </w:rPr>
        <w:t>report on Senior Cycle review will provide useful guidance in relation to progression pathways for students</w:t>
      </w:r>
      <w:r w:rsidR="000F18A5">
        <w:rPr>
          <w:rFonts w:cstheme="minorHAnsi"/>
        </w:rPr>
        <w:t>, as well as outlining conducive conditions for implementation such as resourcing of schools through time allocation.</w:t>
      </w:r>
      <w:r w:rsidR="00BE3F22" w:rsidRPr="00CB337C">
        <w:rPr>
          <w:rFonts w:cstheme="minorHAnsi"/>
        </w:rPr>
        <w:t xml:space="preserve">  It will also hopefully provide greater visibility for vocational educational routes and courses</w:t>
      </w:r>
      <w:r w:rsidR="00F43294" w:rsidRPr="00CB337C">
        <w:rPr>
          <w:rFonts w:cstheme="minorHAnsi"/>
        </w:rPr>
        <w:t xml:space="preserve">.  </w:t>
      </w:r>
    </w:p>
    <w:p w14:paraId="5581D33C" w14:textId="77777777" w:rsidR="00496A64" w:rsidRPr="00CB337C" w:rsidRDefault="00496A64" w:rsidP="00CB337C">
      <w:pPr>
        <w:spacing w:line="360" w:lineRule="auto"/>
        <w:jc w:val="both"/>
        <w:rPr>
          <w:rFonts w:cstheme="minorHAnsi"/>
        </w:rPr>
      </w:pPr>
    </w:p>
    <w:p w14:paraId="57CC7A04" w14:textId="305B5480" w:rsidR="00496A64" w:rsidRPr="00CB337C" w:rsidRDefault="00496A64" w:rsidP="00CB337C">
      <w:pPr>
        <w:spacing w:line="360" w:lineRule="auto"/>
        <w:jc w:val="both"/>
        <w:rPr>
          <w:rFonts w:cstheme="minorHAnsi"/>
        </w:rPr>
      </w:pPr>
      <w:r w:rsidRPr="00CB337C">
        <w:rPr>
          <w:rFonts w:cstheme="minorHAnsi"/>
        </w:rPr>
        <w:t xml:space="preserve">Senior Cycle subjects are continually evolving. Most already have an additional component of assessment, involving project, oral or practical work - set, administered and examined by the SEC. The TUI has been involved in the updating of subject specifications through its involvement in the NCCA.  </w:t>
      </w:r>
      <w:proofErr w:type="gramStart"/>
      <w:r w:rsidRPr="00CB337C">
        <w:rPr>
          <w:rFonts w:cstheme="minorHAnsi"/>
        </w:rPr>
        <w:t>Indeed</w:t>
      </w:r>
      <w:proofErr w:type="gramEnd"/>
      <w:r w:rsidRPr="00CB337C">
        <w:rPr>
          <w:rFonts w:cstheme="minorHAnsi"/>
        </w:rPr>
        <w:t xml:space="preserve"> the TUI has strongly supported the current updating of specifications in the sciences, whilst also noting the dangers of making courses too large.  The TUI has called for some second component assessments to take place during fifth year, thereby reducing the pressure in sixth year.</w:t>
      </w:r>
    </w:p>
    <w:p w14:paraId="5CDAFB30" w14:textId="77777777" w:rsidR="00496A64" w:rsidRPr="00CB337C" w:rsidRDefault="00496A64" w:rsidP="00CB337C">
      <w:pPr>
        <w:spacing w:line="360" w:lineRule="auto"/>
        <w:jc w:val="both"/>
        <w:rPr>
          <w:rFonts w:cstheme="minorHAnsi"/>
        </w:rPr>
      </w:pPr>
    </w:p>
    <w:p w14:paraId="1C39533C" w14:textId="47A42A35" w:rsidR="00273D34" w:rsidRPr="00CB337C" w:rsidRDefault="00F43294" w:rsidP="00CB337C">
      <w:pPr>
        <w:spacing w:line="360" w:lineRule="auto"/>
        <w:jc w:val="both"/>
        <w:rPr>
          <w:rFonts w:cstheme="minorHAnsi"/>
        </w:rPr>
      </w:pPr>
      <w:r w:rsidRPr="00CB337C">
        <w:rPr>
          <w:rFonts w:cstheme="minorHAnsi"/>
        </w:rPr>
        <w:t xml:space="preserve">STEM should be an element of the report particularly in the context of </w:t>
      </w:r>
      <w:r w:rsidR="00113A30" w:rsidRPr="00CB337C">
        <w:rPr>
          <w:rFonts w:cstheme="minorHAnsi"/>
        </w:rPr>
        <w:t xml:space="preserve">SEC </w:t>
      </w:r>
      <w:r w:rsidRPr="00CB337C">
        <w:rPr>
          <w:rFonts w:cstheme="minorHAnsi"/>
        </w:rPr>
        <w:t>second component assessment.  It is disappointing that the D</w:t>
      </w:r>
      <w:r w:rsidR="00113A30" w:rsidRPr="00CB337C">
        <w:rPr>
          <w:rFonts w:cstheme="minorHAnsi"/>
        </w:rPr>
        <w:t>E</w:t>
      </w:r>
      <w:r w:rsidRPr="00CB337C">
        <w:rPr>
          <w:rFonts w:cstheme="minorHAnsi"/>
        </w:rPr>
        <w:t xml:space="preserve"> previously demurred from </w:t>
      </w:r>
      <w:r w:rsidR="00113A30" w:rsidRPr="00CB337C">
        <w:rPr>
          <w:rFonts w:cstheme="minorHAnsi"/>
        </w:rPr>
        <w:t>providing significant funding for second component assessment in STEM</w:t>
      </w:r>
      <w:r w:rsidR="00CB337C" w:rsidRPr="00CB337C">
        <w:rPr>
          <w:rFonts w:cstheme="minorHAnsi"/>
        </w:rPr>
        <w:t xml:space="preserve"> (State Examinations Commission, 2018)</w:t>
      </w:r>
      <w:r w:rsidR="00113A30" w:rsidRPr="00CB337C">
        <w:rPr>
          <w:rFonts w:cstheme="minorHAnsi"/>
        </w:rPr>
        <w:t>.  It should however be noted that not all subjects necessarily benefit from having a second component of assessment.  Each subject needs to be looked at on its own needs.</w:t>
      </w:r>
    </w:p>
    <w:p w14:paraId="452AD0C3" w14:textId="77777777" w:rsidR="00BE3F22" w:rsidRPr="00CB337C" w:rsidRDefault="00BE3F22" w:rsidP="00CB337C">
      <w:pPr>
        <w:spacing w:line="360" w:lineRule="auto"/>
        <w:jc w:val="both"/>
        <w:rPr>
          <w:rFonts w:cstheme="minorHAnsi"/>
        </w:rPr>
      </w:pPr>
    </w:p>
    <w:p w14:paraId="5BD9F1AE" w14:textId="325EF838" w:rsidR="00496A64" w:rsidRPr="00CB337C" w:rsidRDefault="00496A64" w:rsidP="00CB337C">
      <w:pPr>
        <w:spacing w:line="360" w:lineRule="auto"/>
        <w:jc w:val="both"/>
        <w:rPr>
          <w:rFonts w:cstheme="minorHAnsi"/>
        </w:rPr>
      </w:pPr>
      <w:r w:rsidRPr="00CB337C">
        <w:rPr>
          <w:rFonts w:cstheme="minorHAnsi"/>
        </w:rPr>
        <w:t xml:space="preserve">Meaningful curricular provision must be made for students with SEN/AEN who took Level 1 or Level 2 learning programmes for Junior Cycle and who wish to proceed to Senior Cycle education. No subject or programme should be seen as only accessible to certain ‘types’ </w:t>
      </w:r>
      <w:r w:rsidR="00B43BCC" w:rsidRPr="00CB337C">
        <w:rPr>
          <w:rFonts w:cstheme="minorHAnsi"/>
        </w:rPr>
        <w:t>o</w:t>
      </w:r>
      <w:r w:rsidRPr="00CB337C">
        <w:rPr>
          <w:rFonts w:cstheme="minorHAnsi"/>
        </w:rPr>
        <w:t>f student.</w:t>
      </w:r>
    </w:p>
    <w:p w14:paraId="14C506E1" w14:textId="77777777" w:rsidR="00496A64" w:rsidRPr="00CB337C" w:rsidRDefault="00496A64" w:rsidP="00CB337C">
      <w:pPr>
        <w:spacing w:line="360" w:lineRule="auto"/>
        <w:jc w:val="both"/>
        <w:rPr>
          <w:rFonts w:cstheme="minorHAnsi"/>
        </w:rPr>
      </w:pPr>
    </w:p>
    <w:p w14:paraId="489E3B8F" w14:textId="5319830A" w:rsidR="008D5F28" w:rsidRPr="00CB337C" w:rsidRDefault="008D5F28" w:rsidP="00CB337C">
      <w:pPr>
        <w:spacing w:line="360" w:lineRule="auto"/>
        <w:jc w:val="both"/>
        <w:rPr>
          <w:rFonts w:cstheme="minorHAnsi"/>
          <w:b/>
          <w:bCs/>
          <w:u w:val="single"/>
        </w:rPr>
      </w:pPr>
      <w:r w:rsidRPr="00CB337C">
        <w:rPr>
          <w:rFonts w:cstheme="minorHAnsi"/>
          <w:b/>
          <w:bCs/>
          <w:u w:val="single"/>
        </w:rPr>
        <w:t>Apprenticeships</w:t>
      </w:r>
    </w:p>
    <w:p w14:paraId="3A0B4010" w14:textId="6A9E91BB" w:rsidR="008D5F28" w:rsidRPr="00CB337C" w:rsidRDefault="008D5F28" w:rsidP="00CB337C">
      <w:pPr>
        <w:spacing w:line="360" w:lineRule="auto"/>
        <w:jc w:val="both"/>
        <w:rPr>
          <w:rFonts w:cstheme="minorHAnsi"/>
        </w:rPr>
      </w:pPr>
      <w:r w:rsidRPr="00CB337C">
        <w:rPr>
          <w:rFonts w:cstheme="minorHAnsi"/>
        </w:rPr>
        <w:t xml:space="preserve">The TUI strongly welcomes the greater focus on the value of apprenticeships recently and particularly welcomes recent announcements by Minister Harris of an expansion of apprenticeship places.  It is also noteworthy that apprenticeships now extend up to level 10 on the NFQ.  As part of this </w:t>
      </w:r>
      <w:r w:rsidR="003F2ED9" w:rsidRPr="00CB337C">
        <w:rPr>
          <w:rFonts w:cstheme="minorHAnsi"/>
        </w:rPr>
        <w:t xml:space="preserve">long </w:t>
      </w:r>
      <w:r w:rsidR="003F2ED9" w:rsidRPr="00CB337C">
        <w:rPr>
          <w:rFonts w:cstheme="minorHAnsi"/>
        </w:rPr>
        <w:lastRenderedPageBreak/>
        <w:t>sought</w:t>
      </w:r>
      <w:r w:rsidRPr="00CB337C">
        <w:rPr>
          <w:rFonts w:cstheme="minorHAnsi"/>
        </w:rPr>
        <w:t xml:space="preserve"> and positive development the IoT/TU sector is playing a key role in supporting young people to access HE whilst also working in a paid job.</w:t>
      </w:r>
    </w:p>
    <w:p w14:paraId="55C86833" w14:textId="77777777" w:rsidR="008D5F28" w:rsidRPr="00CB337C" w:rsidRDefault="008D5F28" w:rsidP="00CB337C">
      <w:pPr>
        <w:spacing w:line="360" w:lineRule="auto"/>
        <w:jc w:val="both"/>
        <w:rPr>
          <w:rFonts w:cstheme="minorHAnsi"/>
        </w:rPr>
      </w:pPr>
    </w:p>
    <w:p w14:paraId="5E3AEA67" w14:textId="5CA58ABD" w:rsidR="00273D34" w:rsidRPr="00CB337C" w:rsidRDefault="00273D34" w:rsidP="00CB337C">
      <w:pPr>
        <w:spacing w:line="360" w:lineRule="auto"/>
        <w:jc w:val="both"/>
        <w:rPr>
          <w:rFonts w:cstheme="minorHAnsi"/>
          <w:b/>
          <w:bCs/>
          <w:u w:val="single"/>
        </w:rPr>
      </w:pPr>
      <w:r w:rsidRPr="00CB337C">
        <w:rPr>
          <w:rFonts w:cstheme="minorHAnsi"/>
          <w:b/>
          <w:bCs/>
          <w:u w:val="single"/>
        </w:rPr>
        <w:t xml:space="preserve">Emergency Remote Teaching </w:t>
      </w:r>
      <w:r w:rsidR="00BE3F22" w:rsidRPr="00CB337C">
        <w:rPr>
          <w:rFonts w:cstheme="minorHAnsi"/>
          <w:b/>
          <w:bCs/>
          <w:u w:val="single"/>
        </w:rPr>
        <w:t xml:space="preserve">and Learning </w:t>
      </w:r>
      <w:r w:rsidRPr="00CB337C">
        <w:rPr>
          <w:rFonts w:cstheme="minorHAnsi"/>
          <w:b/>
          <w:bCs/>
          <w:u w:val="single"/>
        </w:rPr>
        <w:t>(ERT</w:t>
      </w:r>
      <w:r w:rsidR="00BE3F22" w:rsidRPr="00CB337C">
        <w:rPr>
          <w:rFonts w:cstheme="minorHAnsi"/>
          <w:b/>
          <w:bCs/>
          <w:u w:val="single"/>
        </w:rPr>
        <w:t>L</w:t>
      </w:r>
      <w:r w:rsidRPr="00CB337C">
        <w:rPr>
          <w:rFonts w:cstheme="minorHAnsi"/>
          <w:b/>
          <w:bCs/>
          <w:u w:val="single"/>
        </w:rPr>
        <w:t>)</w:t>
      </w:r>
    </w:p>
    <w:p w14:paraId="153F67CF" w14:textId="63042EF7" w:rsidR="00273D34" w:rsidRPr="00CB337C" w:rsidRDefault="00273D34" w:rsidP="00CB337C">
      <w:pPr>
        <w:spacing w:line="360" w:lineRule="auto"/>
        <w:jc w:val="both"/>
        <w:rPr>
          <w:rFonts w:cstheme="minorHAnsi"/>
          <w:lang w:val="en-US"/>
        </w:rPr>
      </w:pPr>
      <w:r w:rsidRPr="00CB337C">
        <w:rPr>
          <w:rFonts w:cstheme="minorHAnsi"/>
          <w:lang w:val="en-US"/>
        </w:rPr>
        <w:t xml:space="preserve">In post-primary, third level, and further and adult education settings, TUI members engaged in </w:t>
      </w:r>
      <w:r w:rsidR="00BE3F22" w:rsidRPr="00CB337C">
        <w:rPr>
          <w:rFonts w:cstheme="minorHAnsi"/>
          <w:lang w:val="en-US"/>
        </w:rPr>
        <w:t>ERTL</w:t>
      </w:r>
      <w:r w:rsidRPr="00CB337C">
        <w:rPr>
          <w:rFonts w:cstheme="minorHAnsi"/>
          <w:lang w:val="en-US"/>
        </w:rPr>
        <w:t xml:space="preserve"> </w:t>
      </w:r>
      <w:r w:rsidR="00BE3F22" w:rsidRPr="00CB337C">
        <w:rPr>
          <w:rFonts w:cstheme="minorHAnsi"/>
          <w:lang w:val="en-US"/>
        </w:rPr>
        <w:t>for extended periods since March 2020</w:t>
      </w:r>
      <w:r w:rsidRPr="00CB337C">
        <w:rPr>
          <w:rFonts w:cstheme="minorHAnsi"/>
          <w:lang w:val="en-US"/>
        </w:rPr>
        <w:t>. For many members, ERT</w:t>
      </w:r>
      <w:r w:rsidR="00BE3F22" w:rsidRPr="00CB337C">
        <w:rPr>
          <w:rFonts w:cstheme="minorHAnsi"/>
          <w:lang w:val="en-US"/>
        </w:rPr>
        <w:t>L</w:t>
      </w:r>
      <w:r w:rsidRPr="00CB337C">
        <w:rPr>
          <w:rFonts w:cstheme="minorHAnsi"/>
          <w:lang w:val="en-US"/>
        </w:rPr>
        <w:t xml:space="preserve"> continue</w:t>
      </w:r>
      <w:r w:rsidR="00BE3F22" w:rsidRPr="00CB337C">
        <w:rPr>
          <w:rFonts w:cstheme="minorHAnsi"/>
          <w:lang w:val="en-US"/>
        </w:rPr>
        <w:t>d</w:t>
      </w:r>
      <w:r w:rsidRPr="00CB337C">
        <w:rPr>
          <w:rFonts w:cstheme="minorHAnsi"/>
          <w:lang w:val="en-US"/>
        </w:rPr>
        <w:t xml:space="preserve"> </w:t>
      </w:r>
      <w:r w:rsidR="00BE3F22" w:rsidRPr="00CB337C">
        <w:rPr>
          <w:rFonts w:cstheme="minorHAnsi"/>
          <w:lang w:val="en-US"/>
        </w:rPr>
        <w:t>throughout</w:t>
      </w:r>
      <w:r w:rsidRPr="00CB337C">
        <w:rPr>
          <w:rFonts w:cstheme="minorHAnsi"/>
          <w:lang w:val="en-US"/>
        </w:rPr>
        <w:t xml:space="preserve"> </w:t>
      </w:r>
      <w:r w:rsidR="000F18A5">
        <w:rPr>
          <w:rFonts w:cstheme="minorHAnsi"/>
          <w:lang w:val="en-US"/>
        </w:rPr>
        <w:t>for prolonged periods</w:t>
      </w:r>
      <w:r w:rsidR="00BE3F22" w:rsidRPr="00CB337C">
        <w:rPr>
          <w:rFonts w:cstheme="minorHAnsi"/>
          <w:lang w:val="en-US"/>
        </w:rPr>
        <w:t>.</w:t>
      </w:r>
      <w:r w:rsidRPr="00CB337C">
        <w:rPr>
          <w:rFonts w:cstheme="minorHAnsi"/>
          <w:lang w:val="en-US"/>
        </w:rPr>
        <w:t xml:space="preserve"> </w:t>
      </w:r>
    </w:p>
    <w:p w14:paraId="675AA2D7" w14:textId="77777777" w:rsidR="00BE3F22" w:rsidRPr="00CB337C" w:rsidRDefault="00BE3F22" w:rsidP="00CB337C">
      <w:pPr>
        <w:spacing w:line="360" w:lineRule="auto"/>
        <w:jc w:val="both"/>
        <w:rPr>
          <w:rFonts w:cstheme="minorHAnsi"/>
          <w:lang w:val="en-US"/>
        </w:rPr>
      </w:pPr>
    </w:p>
    <w:p w14:paraId="4E1FF609" w14:textId="772B36C7" w:rsidR="00273D34" w:rsidRPr="00CB337C" w:rsidRDefault="00273D34" w:rsidP="00CB337C">
      <w:pPr>
        <w:spacing w:line="360" w:lineRule="auto"/>
        <w:jc w:val="both"/>
        <w:rPr>
          <w:rFonts w:cstheme="minorHAnsi"/>
        </w:rPr>
      </w:pPr>
      <w:r w:rsidRPr="00CB337C">
        <w:rPr>
          <w:rFonts w:cstheme="minorHAnsi"/>
          <w:lang w:val="en-US"/>
        </w:rPr>
        <w:t>ERT</w:t>
      </w:r>
      <w:r w:rsidR="00BE3F22" w:rsidRPr="00CB337C">
        <w:rPr>
          <w:rFonts w:cstheme="minorHAnsi"/>
          <w:lang w:val="en-US"/>
        </w:rPr>
        <w:t>L</w:t>
      </w:r>
      <w:r w:rsidRPr="00CB337C">
        <w:rPr>
          <w:rFonts w:cstheme="minorHAnsi"/>
          <w:lang w:val="en-US"/>
        </w:rPr>
        <w:t xml:space="preserve"> has been demonstrated to involve enormous, unsustainable educational, technical and workload challenges. Due to a range of issues, some students experience very significant difficulty in continuing to engage in education once it has been removed from the physical setting of the school, </w:t>
      </w:r>
      <w:proofErr w:type="gramStart"/>
      <w:r w:rsidRPr="00CB337C">
        <w:rPr>
          <w:rFonts w:cstheme="minorHAnsi"/>
          <w:lang w:val="en-US"/>
        </w:rPr>
        <w:t>college</w:t>
      </w:r>
      <w:proofErr w:type="gramEnd"/>
      <w:r w:rsidRPr="00CB337C">
        <w:rPr>
          <w:rFonts w:cstheme="minorHAnsi"/>
          <w:lang w:val="en-US"/>
        </w:rPr>
        <w:t xml:space="preserve"> or </w:t>
      </w:r>
      <w:proofErr w:type="spellStart"/>
      <w:r w:rsidRPr="00CB337C">
        <w:rPr>
          <w:rFonts w:cstheme="minorHAnsi"/>
          <w:lang w:val="en-US"/>
        </w:rPr>
        <w:t>centre</w:t>
      </w:r>
      <w:proofErr w:type="spellEnd"/>
      <w:r w:rsidRPr="00CB337C">
        <w:rPr>
          <w:rFonts w:cstheme="minorHAnsi"/>
          <w:lang w:val="en-US"/>
        </w:rPr>
        <w:t xml:space="preserve">. The importance of the shared classroom environment and of the personal relationships and interactions at the heart of good educational practice cannot be overstated and their loss cannot be replaced. TUI members witnessed the impact of economic pressures on student engagement, not least in the great difficulties faced by some families and households in adapting their homes into suitable learning spaces </w:t>
      </w:r>
      <w:proofErr w:type="gramStart"/>
      <w:r w:rsidRPr="00CB337C">
        <w:rPr>
          <w:rFonts w:cstheme="minorHAnsi"/>
          <w:lang w:val="en-US"/>
        </w:rPr>
        <w:t>in spite of</w:t>
      </w:r>
      <w:proofErr w:type="gramEnd"/>
      <w:r w:rsidRPr="00CB337C">
        <w:rPr>
          <w:rFonts w:cstheme="minorHAnsi"/>
          <w:lang w:val="en-US"/>
        </w:rPr>
        <w:t xml:space="preserve"> their best efforts. The lack of appropriate devices and broadband access, both for educators and students, presented and continue to present severe limitations on what is possible, as do the lack of training and technical support. Learning resources, lesson plans and teaching strategies must be replaced or rewritten creating massive workload issues. All educational interactions become more time-consuming and more likely to need repetition and reinforcement. Feedback and assessment take place in new settings and formats, many needing to be newly created and taking significantly more time and work by educators.</w:t>
      </w:r>
      <w:r w:rsidR="00BE3F22" w:rsidRPr="00CB337C">
        <w:rPr>
          <w:rFonts w:cstheme="minorHAnsi"/>
          <w:lang w:val="en-US"/>
        </w:rPr>
        <w:t xml:space="preserve">  ERTL proved to be particularly challenging for under-represented student groups.</w:t>
      </w:r>
    </w:p>
    <w:p w14:paraId="3B2EA125" w14:textId="77777777" w:rsidR="00273D34" w:rsidRPr="00CB337C" w:rsidRDefault="00273D34" w:rsidP="00CB337C">
      <w:pPr>
        <w:spacing w:line="360" w:lineRule="auto"/>
        <w:jc w:val="both"/>
        <w:rPr>
          <w:rFonts w:cstheme="minorHAnsi"/>
        </w:rPr>
      </w:pPr>
    </w:p>
    <w:p w14:paraId="06E8D52C" w14:textId="269F9E3C" w:rsidR="00273D34" w:rsidRPr="00CB337C" w:rsidRDefault="00273D34" w:rsidP="00CB337C">
      <w:pPr>
        <w:spacing w:after="0" w:line="360" w:lineRule="auto"/>
        <w:jc w:val="both"/>
        <w:rPr>
          <w:rFonts w:cstheme="minorHAnsi"/>
          <w:b/>
          <w:bCs/>
          <w:u w:val="single"/>
        </w:rPr>
      </w:pPr>
      <w:r w:rsidRPr="00CB337C">
        <w:rPr>
          <w:rFonts w:cstheme="minorHAnsi"/>
          <w:b/>
          <w:bCs/>
          <w:u w:val="single"/>
        </w:rPr>
        <w:t>Investment in the Education System</w:t>
      </w:r>
    </w:p>
    <w:p w14:paraId="1905A766" w14:textId="270D7298" w:rsidR="008A0246" w:rsidRPr="00CB337C" w:rsidRDefault="008A0246" w:rsidP="00CB337C">
      <w:pPr>
        <w:shd w:val="clear" w:color="auto" w:fill="FFFFFF"/>
        <w:spacing w:after="150" w:line="360" w:lineRule="auto"/>
        <w:jc w:val="both"/>
        <w:rPr>
          <w:rFonts w:cstheme="minorHAnsi"/>
          <w:bCs/>
        </w:rPr>
      </w:pPr>
      <w:r w:rsidRPr="00CB337C">
        <w:rPr>
          <w:rFonts w:cstheme="minorHAnsi"/>
          <w:bCs/>
        </w:rPr>
        <w:t xml:space="preserve">Irish teachers and lecturers continue to provide a first-class education service to learners of all abilities against the backdrop of significant additional challenges.  The findings of the OECD Education </w:t>
      </w:r>
      <w:proofErr w:type="gramStart"/>
      <w:r w:rsidRPr="00CB337C">
        <w:rPr>
          <w:rFonts w:cstheme="minorHAnsi"/>
          <w:bCs/>
        </w:rPr>
        <w:t>At</w:t>
      </w:r>
      <w:proofErr w:type="gramEnd"/>
      <w:r w:rsidRPr="00CB337C">
        <w:rPr>
          <w:rFonts w:cstheme="minorHAnsi"/>
          <w:bCs/>
        </w:rPr>
        <w:t xml:space="preserve"> A Glance 2021 report make clear that educators have been carrying out their work in a sector that is chronically and disgracefully under-resourced by international standards.  With a range of current and future challenges, an </w:t>
      </w:r>
      <w:proofErr w:type="gramStart"/>
      <w:r w:rsidRPr="00CB337C">
        <w:rPr>
          <w:rFonts w:cstheme="minorHAnsi"/>
          <w:bCs/>
        </w:rPr>
        <w:t>adequately-funded</w:t>
      </w:r>
      <w:proofErr w:type="gramEnd"/>
      <w:r w:rsidRPr="00CB337C">
        <w:rPr>
          <w:rFonts w:cstheme="minorHAnsi"/>
          <w:bCs/>
        </w:rPr>
        <w:t xml:space="preserve"> education system must be seen as central to the country’s future, and Government must urgently commit to redressing the damage of years of cutbacks and </w:t>
      </w:r>
      <w:r w:rsidRPr="00CB337C">
        <w:rPr>
          <w:rFonts w:cstheme="minorHAnsi"/>
          <w:bCs/>
        </w:rPr>
        <w:lastRenderedPageBreak/>
        <w:t>neglect.</w:t>
      </w:r>
      <w:r w:rsidRPr="00CB337C">
        <w:rPr>
          <w:rFonts w:cstheme="minorHAnsi"/>
          <w:bCs/>
        </w:rPr>
        <w:br/>
        <w:t>   </w:t>
      </w:r>
    </w:p>
    <w:p w14:paraId="6465185C" w14:textId="77777777" w:rsidR="006759EE" w:rsidRPr="00CB337C" w:rsidRDefault="008A0246" w:rsidP="00CB337C">
      <w:pPr>
        <w:shd w:val="clear" w:color="auto" w:fill="FFFFFF"/>
        <w:spacing w:after="150" w:line="360" w:lineRule="auto"/>
        <w:jc w:val="both"/>
        <w:rPr>
          <w:rFonts w:cstheme="minorHAnsi"/>
          <w:bCs/>
        </w:rPr>
      </w:pPr>
      <w:r w:rsidRPr="00CB337C">
        <w:rPr>
          <w:rFonts w:cstheme="minorHAnsi"/>
          <w:bCs/>
        </w:rPr>
        <w:t>The key statistic in the report shows that of the countries for which figures are provided, none spend a lower proportion of national wealth on education than Ireland’s (3%). At second level, the situation remains particularly dire, with Ireland’s spend (1.1%) the lowest of the 36 countries for which figures are provided, trailing unacceptably far behind the OECD and European averages (both 1.9%).  </w:t>
      </w:r>
      <w:r w:rsidRPr="00CB337C">
        <w:rPr>
          <w:rFonts w:cstheme="minorHAnsi"/>
          <w:bCs/>
        </w:rPr>
        <w:br/>
      </w:r>
      <w:r w:rsidRPr="00CB337C">
        <w:rPr>
          <w:rFonts w:cstheme="minorHAnsi"/>
          <w:bCs/>
        </w:rPr>
        <w:br/>
      </w:r>
    </w:p>
    <w:p w14:paraId="4E7EE508" w14:textId="156475CA" w:rsidR="008A0246" w:rsidRPr="00CB337C" w:rsidRDefault="008A0246" w:rsidP="00CB337C">
      <w:pPr>
        <w:shd w:val="clear" w:color="auto" w:fill="FFFFFF"/>
        <w:spacing w:after="150" w:line="360" w:lineRule="auto"/>
        <w:jc w:val="both"/>
        <w:rPr>
          <w:rFonts w:cstheme="minorHAnsi"/>
          <w:bCs/>
        </w:rPr>
      </w:pPr>
      <w:r w:rsidRPr="00CB337C">
        <w:rPr>
          <w:rFonts w:cstheme="minorHAnsi"/>
          <w:bCs/>
        </w:rPr>
        <w:t>Recent experiences related to the pandemic have made clear just how many schools and classrooms are unfit for the requirements of modern education.   It is students from disadvantaged backgrounds who suffer the most from inadequate education budgets, and the ongoing failure to invest sufficiently must be viewed as a continued attack on the most vulnerable in communities around the country. </w:t>
      </w:r>
      <w:r w:rsidRPr="00CB337C">
        <w:rPr>
          <w:rFonts w:cstheme="minorHAnsi"/>
          <w:bCs/>
        </w:rPr>
        <w:br/>
        <w:t>    </w:t>
      </w:r>
    </w:p>
    <w:p w14:paraId="2527BFC5" w14:textId="4570D4D6" w:rsidR="00273D34" w:rsidRPr="00CB337C" w:rsidRDefault="00273D34" w:rsidP="00CB337C">
      <w:pPr>
        <w:spacing w:after="0" w:line="360" w:lineRule="auto"/>
        <w:jc w:val="both"/>
        <w:rPr>
          <w:rFonts w:cstheme="minorHAnsi"/>
        </w:rPr>
      </w:pPr>
      <w:r w:rsidRPr="00CB337C">
        <w:rPr>
          <w:rFonts w:cstheme="minorHAnsi"/>
          <w:bCs/>
        </w:rPr>
        <w:t>It is important to note that in 2019 Ireland only spent 0.9% of GDP on tertiary education, compared to 1.4% in the OECD (OECD, 2019a).  The ratio of students to teachers in Irish tertiary education is also very significantly above both the OECD and EU averages (OECD, 2020</w:t>
      </w:r>
      <w:r w:rsidR="00F229F4">
        <w:rPr>
          <w:rFonts w:cstheme="minorHAnsi"/>
          <w:bCs/>
        </w:rPr>
        <w:t>b</w:t>
      </w:r>
      <w:r w:rsidRPr="00CB337C">
        <w:rPr>
          <w:rFonts w:cstheme="minorHAnsi"/>
          <w:bCs/>
        </w:rPr>
        <w:t xml:space="preserve">).  The funding deficit, even aside from anything to do with Covid-19, will get worse in coming years as, student numbers are estimated by the </w:t>
      </w:r>
      <w:r w:rsidRPr="00CB337C">
        <w:rPr>
          <w:rFonts w:cstheme="minorHAnsi"/>
        </w:rPr>
        <w:t>DES to rise by almost thirty thousand in tertiary education in the next ten years (DES, 2018d).</w:t>
      </w:r>
      <w:r w:rsidR="008A0246" w:rsidRPr="00CB337C">
        <w:rPr>
          <w:rFonts w:cstheme="minorHAnsi"/>
          <w:bCs/>
        </w:rPr>
        <w:t xml:space="preserve"> As shown in OECD (2021), the ratio of students to teaching staff has increased from 20:1 to 23:1 this year, which is vastly higher than the OECD and European averages of 15:1. This is a clear indictment of the ongoing political refusal to address the sector’s funding crisis.</w:t>
      </w:r>
      <w:r w:rsidR="00AE6FAC">
        <w:rPr>
          <w:rFonts w:cstheme="minorHAnsi"/>
          <w:bCs/>
        </w:rPr>
        <w:t xml:space="preserve">  It is also a serious problem for student outcomes as “larger classes are associated with significantly lower grades” and the impact is especially severe in STEM subjects and for “students from a disadvantaged background” (Kara et al., 2021: 1, 2).</w:t>
      </w:r>
    </w:p>
    <w:p w14:paraId="1A1D8E93" w14:textId="2E91C4C8" w:rsidR="00BA05C8" w:rsidRPr="00CB337C" w:rsidRDefault="00BA05C8" w:rsidP="00CB337C">
      <w:pPr>
        <w:autoSpaceDE w:val="0"/>
        <w:autoSpaceDN w:val="0"/>
        <w:adjustRightInd w:val="0"/>
        <w:spacing w:after="0" w:line="360" w:lineRule="auto"/>
        <w:jc w:val="both"/>
        <w:rPr>
          <w:rFonts w:cstheme="minorHAnsi"/>
        </w:rPr>
      </w:pPr>
      <w:bookmarkStart w:id="2" w:name="_Hlk33798883"/>
    </w:p>
    <w:bookmarkEnd w:id="2"/>
    <w:p w14:paraId="23F36315" w14:textId="3F8A832C" w:rsidR="00404331" w:rsidRPr="00CB337C" w:rsidRDefault="00273D34" w:rsidP="00AE6FAC">
      <w:pPr>
        <w:shd w:val="clear" w:color="auto" w:fill="FFFFFF"/>
        <w:spacing w:after="150" w:line="360" w:lineRule="auto"/>
        <w:jc w:val="both"/>
        <w:rPr>
          <w:rFonts w:cstheme="minorHAnsi"/>
          <w:u w:val="single"/>
        </w:rPr>
      </w:pPr>
      <w:r w:rsidRPr="00CB337C">
        <w:rPr>
          <w:rFonts w:cstheme="minorHAnsi"/>
          <w:lang w:val="en-GB"/>
        </w:rPr>
        <w:t xml:space="preserve">Investment in the further education and training sector also needs to be addressed.  Priorities in the Programme for Government can only be adequately addressed if accompanied by additional funding.  Areas such as </w:t>
      </w:r>
      <w:proofErr w:type="spellStart"/>
      <w:r w:rsidRPr="00CB337C">
        <w:rPr>
          <w:rFonts w:cstheme="minorHAnsi"/>
          <w:lang w:val="en-GB"/>
        </w:rPr>
        <w:t>Youthreach</w:t>
      </w:r>
      <w:proofErr w:type="spellEnd"/>
      <w:r w:rsidRPr="00CB337C">
        <w:rPr>
          <w:rFonts w:cstheme="minorHAnsi"/>
          <w:lang w:val="en-GB"/>
        </w:rPr>
        <w:t>, adult literacy, post-leaving certificate programmes etc have for too long been a ‘Cinderella’ of the system.</w:t>
      </w:r>
      <w:r w:rsidR="008A0246" w:rsidRPr="00CB337C">
        <w:rPr>
          <w:rFonts w:cstheme="minorHAnsi"/>
          <w:bCs/>
        </w:rPr>
        <w:t xml:space="preserve"> Over 15% of Ireland’s </w:t>
      </w:r>
      <w:proofErr w:type="gramStart"/>
      <w:r w:rsidR="008A0246" w:rsidRPr="00CB337C">
        <w:rPr>
          <w:rFonts w:cstheme="minorHAnsi"/>
          <w:bCs/>
        </w:rPr>
        <w:t>18-24 year-olds</w:t>
      </w:r>
      <w:proofErr w:type="gramEnd"/>
      <w:r w:rsidR="008A0246" w:rsidRPr="00CB337C">
        <w:rPr>
          <w:rFonts w:cstheme="minorHAnsi"/>
          <w:bCs/>
        </w:rPr>
        <w:t xml:space="preserve"> are neither employed nor in education (NEETs), according to the latest OECD data. This represents a large proportion of young people and our </w:t>
      </w:r>
      <w:proofErr w:type="gramStart"/>
      <w:r w:rsidR="008A0246" w:rsidRPr="00CB337C">
        <w:rPr>
          <w:rFonts w:cstheme="minorHAnsi"/>
          <w:bCs/>
        </w:rPr>
        <w:t>publicly-funded</w:t>
      </w:r>
      <w:proofErr w:type="gramEnd"/>
      <w:r w:rsidR="008A0246" w:rsidRPr="00CB337C">
        <w:rPr>
          <w:rFonts w:cstheme="minorHAnsi"/>
          <w:bCs/>
        </w:rPr>
        <w:t xml:space="preserve"> further and adult education sector should be appropriately resourced to provide options to this cohort of the population.</w:t>
      </w:r>
      <w:r w:rsidR="008A0246" w:rsidRPr="00CB337C">
        <w:rPr>
          <w:rFonts w:cstheme="minorHAnsi"/>
          <w:bCs/>
        </w:rPr>
        <w:br/>
        <w:t>   </w:t>
      </w:r>
    </w:p>
    <w:p w14:paraId="5D210A33" w14:textId="3FCC8411" w:rsidR="00273D34" w:rsidRPr="00CB337C" w:rsidRDefault="00273D34" w:rsidP="00CB337C">
      <w:pPr>
        <w:spacing w:line="360" w:lineRule="auto"/>
        <w:jc w:val="both"/>
        <w:rPr>
          <w:rFonts w:cstheme="minorHAnsi"/>
          <w:b/>
          <w:bCs/>
          <w:u w:val="single"/>
        </w:rPr>
      </w:pPr>
      <w:r w:rsidRPr="00CB337C">
        <w:rPr>
          <w:rFonts w:cstheme="minorHAnsi"/>
          <w:b/>
          <w:bCs/>
          <w:u w:val="single"/>
        </w:rPr>
        <w:lastRenderedPageBreak/>
        <w:t>Covid-19</w:t>
      </w:r>
    </w:p>
    <w:p w14:paraId="57912875" w14:textId="53647C68" w:rsidR="00273D34" w:rsidRPr="00CB337C" w:rsidRDefault="00273D34" w:rsidP="00CB337C">
      <w:pPr>
        <w:spacing w:line="360" w:lineRule="auto"/>
        <w:jc w:val="both"/>
        <w:rPr>
          <w:rFonts w:cstheme="minorHAnsi"/>
        </w:rPr>
      </w:pPr>
      <w:r w:rsidRPr="00CB337C">
        <w:rPr>
          <w:rFonts w:cstheme="minorHAnsi"/>
        </w:rPr>
        <w:t xml:space="preserve">The current pandemic has clearly shown the extraordinary lengths staff and management in all sectors of the education system will go to support their students.  However, it has also shown the level of historic under-investment that the system is trying to cope with.  The TUI welcomes the funding which the DE, and DFHERIS, has put into the system.  However, more will clearly be needed as the pandemic </w:t>
      </w:r>
      <w:r w:rsidR="003F2ED9" w:rsidRPr="00CB337C">
        <w:rPr>
          <w:rFonts w:cstheme="minorHAnsi"/>
        </w:rPr>
        <w:t>continues</w:t>
      </w:r>
      <w:r w:rsidRPr="00CB337C">
        <w:rPr>
          <w:rFonts w:cstheme="minorHAnsi"/>
        </w:rPr>
        <w:t xml:space="preserve"> into </w:t>
      </w:r>
      <w:r w:rsidR="000F18A5">
        <w:rPr>
          <w:rFonts w:cstheme="minorHAnsi"/>
        </w:rPr>
        <w:t>2022</w:t>
      </w:r>
      <w:r w:rsidRPr="00CB337C">
        <w:rPr>
          <w:rFonts w:cstheme="minorHAnsi"/>
        </w:rPr>
        <w:t xml:space="preserve">.  The issue of technology and the digital divide is just one example.  </w:t>
      </w:r>
      <w:r w:rsidR="0071478C" w:rsidRPr="00CB337C">
        <w:rPr>
          <w:rFonts w:cstheme="minorHAnsi"/>
        </w:rPr>
        <w:t>Providing laptops to students is a start but does not resolve the problem of the digital divide and it does nothing to solve the difficulty of poor access to broadband services especially in rural areas.</w:t>
      </w:r>
    </w:p>
    <w:p w14:paraId="76C9F9DA" w14:textId="77777777" w:rsidR="00273D34" w:rsidRPr="00CB337C" w:rsidRDefault="00273D34" w:rsidP="00CB337C">
      <w:pPr>
        <w:spacing w:line="360" w:lineRule="auto"/>
        <w:jc w:val="both"/>
        <w:rPr>
          <w:rFonts w:cstheme="minorHAnsi"/>
        </w:rPr>
      </w:pPr>
    </w:p>
    <w:p w14:paraId="59CA97D0" w14:textId="02D6BFFB" w:rsidR="00273D34" w:rsidRPr="00CB337C" w:rsidRDefault="00D1662A" w:rsidP="00CB337C">
      <w:pPr>
        <w:spacing w:after="150" w:line="360" w:lineRule="auto"/>
        <w:jc w:val="both"/>
        <w:rPr>
          <w:rFonts w:eastAsia="Times New Roman" w:cstheme="minorHAnsi"/>
          <w:lang w:eastAsia="en-IE"/>
        </w:rPr>
      </w:pPr>
      <w:r w:rsidRPr="00CB337C">
        <w:rPr>
          <w:rFonts w:eastAsia="Times New Roman" w:cstheme="minorHAnsi"/>
          <w:lang w:eastAsia="en-IE"/>
        </w:rPr>
        <w:t xml:space="preserve">In April 2021, the TUI carried out a survey of its third level members.  </w:t>
      </w:r>
      <w:r w:rsidR="00273D34" w:rsidRPr="00CB337C">
        <w:rPr>
          <w:rFonts w:eastAsia="Times New Roman" w:cstheme="minorHAnsi"/>
          <w:lang w:eastAsia="en-IE"/>
        </w:rPr>
        <w:t>Key findings of the survey of over 1,500 members included: </w:t>
      </w:r>
    </w:p>
    <w:p w14:paraId="4012A22E" w14:textId="77777777" w:rsidR="00273D34" w:rsidRPr="00CB337C" w:rsidRDefault="00273D34" w:rsidP="00CB337C">
      <w:pPr>
        <w:numPr>
          <w:ilvl w:val="0"/>
          <w:numId w:val="45"/>
        </w:numPr>
        <w:spacing w:before="100" w:beforeAutospacing="1" w:after="225" w:line="360" w:lineRule="auto"/>
        <w:jc w:val="both"/>
        <w:rPr>
          <w:rFonts w:eastAsia="Times New Roman" w:cstheme="minorHAnsi"/>
          <w:lang w:eastAsia="en-IE"/>
        </w:rPr>
      </w:pPr>
      <w:r w:rsidRPr="00CB337C">
        <w:rPr>
          <w:rFonts w:eastAsia="Times New Roman" w:cstheme="minorHAnsi"/>
          <w:lang w:eastAsia="en-IE"/>
        </w:rPr>
        <w:t xml:space="preserve">71% do not believe that the enhanced teaching/staffing allocation provided </w:t>
      </w:r>
      <w:proofErr w:type="gramStart"/>
      <w:r w:rsidRPr="00CB337C">
        <w:rPr>
          <w:rFonts w:eastAsia="Times New Roman" w:cstheme="minorHAnsi"/>
          <w:lang w:eastAsia="en-IE"/>
        </w:rPr>
        <w:t>as a result of</w:t>
      </w:r>
      <w:proofErr w:type="gramEnd"/>
      <w:r w:rsidRPr="00CB337C">
        <w:rPr>
          <w:rFonts w:eastAsia="Times New Roman" w:cstheme="minorHAnsi"/>
          <w:lang w:eastAsia="en-IE"/>
        </w:rPr>
        <w:t xml:space="preserve"> COVID-19 has been sufficient to meet requirements  </w:t>
      </w:r>
    </w:p>
    <w:p w14:paraId="25E4A49E" w14:textId="77777777" w:rsidR="00273D34" w:rsidRPr="00CB337C" w:rsidRDefault="00273D34" w:rsidP="00CB337C">
      <w:pPr>
        <w:numPr>
          <w:ilvl w:val="0"/>
          <w:numId w:val="45"/>
        </w:numPr>
        <w:spacing w:before="100" w:beforeAutospacing="1" w:after="225" w:line="360" w:lineRule="auto"/>
        <w:jc w:val="both"/>
        <w:rPr>
          <w:rFonts w:eastAsia="Times New Roman" w:cstheme="minorHAnsi"/>
          <w:lang w:eastAsia="en-IE"/>
        </w:rPr>
      </w:pPr>
      <w:r w:rsidRPr="00CB337C">
        <w:rPr>
          <w:rFonts w:eastAsia="Times New Roman" w:cstheme="minorHAnsi"/>
          <w:lang w:eastAsia="en-IE"/>
        </w:rPr>
        <w:t>95% said their work is somewhat or significantly more difficult compared to twelve months ago  </w:t>
      </w:r>
    </w:p>
    <w:p w14:paraId="4F8BF613" w14:textId="77777777" w:rsidR="00273D34" w:rsidRPr="00CB337C" w:rsidRDefault="00273D34" w:rsidP="00CB337C">
      <w:pPr>
        <w:numPr>
          <w:ilvl w:val="0"/>
          <w:numId w:val="45"/>
        </w:numPr>
        <w:spacing w:before="100" w:beforeAutospacing="1" w:after="225" w:line="360" w:lineRule="auto"/>
        <w:jc w:val="both"/>
        <w:rPr>
          <w:rFonts w:eastAsia="Times New Roman" w:cstheme="minorHAnsi"/>
          <w:lang w:eastAsia="en-IE"/>
        </w:rPr>
      </w:pPr>
      <w:r w:rsidRPr="00CB337C">
        <w:rPr>
          <w:rFonts w:eastAsia="Times New Roman" w:cstheme="minorHAnsi"/>
          <w:lang w:eastAsia="en-IE"/>
        </w:rPr>
        <w:t>From a list, respondents identified ‘More physical space’, ‘Smaller class groups’ and ‘more teachers’ as what they would most like to see to counter the workplace risk of COVID-19  </w:t>
      </w:r>
    </w:p>
    <w:p w14:paraId="476C04FA" w14:textId="5A42DF03" w:rsidR="00273D34" w:rsidRPr="00CB337C" w:rsidRDefault="00273D34" w:rsidP="00CB337C">
      <w:pPr>
        <w:numPr>
          <w:ilvl w:val="0"/>
          <w:numId w:val="45"/>
        </w:numPr>
        <w:spacing w:before="100" w:beforeAutospacing="1" w:after="225" w:line="360" w:lineRule="auto"/>
        <w:jc w:val="both"/>
        <w:rPr>
          <w:rFonts w:eastAsia="Times New Roman" w:cstheme="minorHAnsi"/>
          <w:lang w:eastAsia="en-IE"/>
        </w:rPr>
      </w:pPr>
      <w:r w:rsidRPr="00CB337C">
        <w:rPr>
          <w:rFonts w:eastAsia="Times New Roman" w:cstheme="minorHAnsi"/>
          <w:lang w:eastAsia="en-IE"/>
        </w:rPr>
        <w:t xml:space="preserve">52% do not believe that most students have the required ICT facilities to participate in remote learning should schools be required to close for </w:t>
      </w:r>
      <w:r w:rsidR="003F2ED9" w:rsidRPr="00CB337C">
        <w:rPr>
          <w:rFonts w:eastAsia="Times New Roman" w:cstheme="minorHAnsi"/>
          <w:lang w:eastAsia="en-IE"/>
        </w:rPr>
        <w:t>a period</w:t>
      </w:r>
      <w:r w:rsidRPr="00CB337C">
        <w:rPr>
          <w:rFonts w:eastAsia="Times New Roman" w:cstheme="minorHAnsi"/>
          <w:lang w:eastAsia="en-IE"/>
        </w:rPr>
        <w:t>  </w:t>
      </w:r>
    </w:p>
    <w:p w14:paraId="449D0738" w14:textId="0620B2C2" w:rsidR="00273D34" w:rsidRPr="00CB337C" w:rsidRDefault="003F2ED9" w:rsidP="00CB337C">
      <w:pPr>
        <w:spacing w:line="360" w:lineRule="auto"/>
        <w:jc w:val="both"/>
        <w:rPr>
          <w:rFonts w:cstheme="minorHAnsi"/>
        </w:rPr>
      </w:pPr>
      <w:r w:rsidRPr="00CB337C">
        <w:rPr>
          <w:rFonts w:cstheme="minorHAnsi"/>
        </w:rPr>
        <w:t>All</w:t>
      </w:r>
      <w:r w:rsidR="00D1662A" w:rsidRPr="00CB337C">
        <w:rPr>
          <w:rFonts w:cstheme="minorHAnsi"/>
        </w:rPr>
        <w:t xml:space="preserve"> the above have a particular influence on students coming from higher education access under-represented groups.</w:t>
      </w:r>
      <w:r w:rsidR="0071478C" w:rsidRPr="00CB337C">
        <w:rPr>
          <w:rFonts w:cstheme="minorHAnsi"/>
        </w:rPr>
        <w:t xml:space="preserve">  </w:t>
      </w:r>
    </w:p>
    <w:p w14:paraId="4ED6924D" w14:textId="77777777" w:rsidR="00D1662A" w:rsidRPr="00CB337C" w:rsidRDefault="00D1662A" w:rsidP="00CB337C">
      <w:pPr>
        <w:spacing w:line="360" w:lineRule="auto"/>
        <w:jc w:val="both"/>
        <w:rPr>
          <w:rFonts w:cstheme="minorHAnsi"/>
        </w:rPr>
      </w:pPr>
    </w:p>
    <w:p w14:paraId="7588D74D" w14:textId="6DABF592" w:rsidR="0071478C" w:rsidRPr="00CB337C" w:rsidRDefault="003F2ED9" w:rsidP="00CB337C">
      <w:pPr>
        <w:spacing w:after="0" w:line="360" w:lineRule="auto"/>
        <w:jc w:val="both"/>
        <w:rPr>
          <w:rFonts w:cstheme="minorHAnsi"/>
        </w:rPr>
      </w:pPr>
      <w:r w:rsidRPr="00CB337C">
        <w:rPr>
          <w:rFonts w:cstheme="minorHAnsi"/>
        </w:rPr>
        <w:t>All</w:t>
      </w:r>
      <w:r w:rsidR="0071478C" w:rsidRPr="00CB337C">
        <w:rPr>
          <w:rFonts w:cstheme="minorHAnsi"/>
        </w:rPr>
        <w:t xml:space="preserve"> Irish society is acutely conscious of the impact of COVID-19 and its attendant losses in life, health, and employment. We must guard against losses in the social and cultural fabric that binds our nation together. In which connection, the work of TUI members, both in education and as trade unionists, is vital. Indeed, the crisis highlights the centrality of public service and collective effort to any well-ordered society. The TUI earnestly hopes that those newly awakened to this reality do not soon forget it. For our part, we pay tribute and thanks to fellow public servants, in healthcare, policing and education most particularly, and indeed to all workers engaged in the provision of essential services. TUI members have risen magnificently to the challenge of maintaining education of the highest </w:t>
      </w:r>
      <w:r w:rsidR="0071478C" w:rsidRPr="00CB337C">
        <w:rPr>
          <w:rFonts w:cstheme="minorHAnsi"/>
        </w:rPr>
        <w:lastRenderedPageBreak/>
        <w:t xml:space="preserve">standard. Education is our greatest equalising and unifying endeavour and in the face of enormous difficulties </w:t>
      </w:r>
      <w:r w:rsidR="00E14A80" w:rsidRPr="00CB337C">
        <w:rPr>
          <w:rFonts w:cstheme="minorHAnsi"/>
        </w:rPr>
        <w:t xml:space="preserve">our members </w:t>
      </w:r>
      <w:r w:rsidR="0071478C" w:rsidRPr="00CB337C">
        <w:rPr>
          <w:rFonts w:cstheme="minorHAnsi"/>
        </w:rPr>
        <w:t xml:space="preserve">have continued to inspire curiosity and imagination, to release potential and to unfold opportunities and possibilities. The TUI will beware of any complacent, or indeed malign, assumption by Managements or Government that the extraordinary efforts made by school staff in response to the emergency form a template for future work. We will ensure that our no-precedent stipulations, and the written assurances from Government, Departments and Managements to the same effect, will be honoured. </w:t>
      </w:r>
      <w:r w:rsidR="00425AD7" w:rsidRPr="00CB337C">
        <w:rPr>
          <w:rFonts w:cstheme="minorHAnsi"/>
        </w:rPr>
        <w:t>ERTL</w:t>
      </w:r>
      <w:r w:rsidR="0071478C" w:rsidRPr="00CB337C">
        <w:rPr>
          <w:rFonts w:cstheme="minorHAnsi"/>
        </w:rPr>
        <w:t xml:space="preserve"> was indeed only an emergency measure.  This has been acknowledged by the Minister for Education in her address to TUI Congress in April 2021.</w:t>
      </w:r>
    </w:p>
    <w:p w14:paraId="58F0978D" w14:textId="77777777" w:rsidR="0071478C" w:rsidRPr="00CB337C" w:rsidRDefault="0071478C" w:rsidP="00CB337C">
      <w:pPr>
        <w:spacing w:line="360" w:lineRule="auto"/>
        <w:jc w:val="both"/>
        <w:rPr>
          <w:rFonts w:cstheme="minorHAnsi"/>
          <w:bCs/>
          <w:u w:val="single"/>
        </w:rPr>
      </w:pPr>
    </w:p>
    <w:p w14:paraId="572ACF7A" w14:textId="01E2129C" w:rsidR="00273D34" w:rsidRPr="00CB337C" w:rsidRDefault="00273D34" w:rsidP="00CB337C">
      <w:pPr>
        <w:spacing w:line="360" w:lineRule="auto"/>
        <w:jc w:val="both"/>
        <w:rPr>
          <w:rFonts w:cstheme="minorHAnsi"/>
          <w:b/>
          <w:u w:val="single"/>
        </w:rPr>
      </w:pPr>
      <w:r w:rsidRPr="00CB337C">
        <w:rPr>
          <w:rFonts w:cstheme="minorHAnsi"/>
          <w:b/>
          <w:u w:val="single"/>
        </w:rPr>
        <w:t xml:space="preserve">National obsession with third level progression  </w:t>
      </w:r>
    </w:p>
    <w:p w14:paraId="206656E3" w14:textId="4A225218" w:rsidR="00273D34" w:rsidRPr="00CB337C" w:rsidRDefault="00273D34" w:rsidP="00CB337C">
      <w:pPr>
        <w:spacing w:line="360" w:lineRule="auto"/>
        <w:jc w:val="both"/>
        <w:rPr>
          <w:rFonts w:cstheme="minorHAnsi"/>
        </w:rPr>
      </w:pPr>
      <w:r w:rsidRPr="00CB337C">
        <w:rPr>
          <w:rFonts w:cstheme="minorHAnsi"/>
        </w:rPr>
        <w:t xml:space="preserve">Any reform of Senior Cycle must cater for all students and their unique talents. At present, the range of levels across all Senior Cycle programmes caters for a wide breadth of academic ability. The Leaving Certificate Applied (LCA) facilitates students who may not otherwise have remained in school while the Leaving Certificate Vocational Programme (LCVP), with its practical elements and second components, fosters key skills. Future reform must not marginalise or exclude any cohort of learners; it must be inclusive in nature. </w:t>
      </w:r>
      <w:r w:rsidR="006759EE" w:rsidRPr="00CB337C">
        <w:rPr>
          <w:rFonts w:cstheme="minorHAnsi"/>
        </w:rPr>
        <w:t>This means the ability to engage in STEM education as well as all other forms of education.  This means meaningful investment in school buildings and classroom technology.</w:t>
      </w:r>
    </w:p>
    <w:p w14:paraId="0AACD55C" w14:textId="77777777" w:rsidR="00425AD7" w:rsidRPr="00CB337C" w:rsidRDefault="00425AD7" w:rsidP="00CB337C">
      <w:pPr>
        <w:spacing w:line="360" w:lineRule="auto"/>
        <w:jc w:val="both"/>
        <w:rPr>
          <w:rFonts w:cstheme="minorHAnsi"/>
        </w:rPr>
      </w:pPr>
    </w:p>
    <w:p w14:paraId="111FF498" w14:textId="1EF88BA7" w:rsidR="00273D34" w:rsidRPr="00CB337C" w:rsidRDefault="00273D34" w:rsidP="00CB337C">
      <w:pPr>
        <w:spacing w:line="360" w:lineRule="auto"/>
        <w:jc w:val="both"/>
        <w:rPr>
          <w:rFonts w:cstheme="minorHAnsi"/>
        </w:rPr>
      </w:pPr>
      <w:r w:rsidRPr="00CB337C">
        <w:rPr>
          <w:rFonts w:cstheme="minorHAnsi"/>
        </w:rPr>
        <w:t xml:space="preserve">It is worth highlighting that the excessive focus on CAO points is not a flaw of the current Senior Cycle itself. </w:t>
      </w:r>
      <w:r w:rsidR="00E14A80" w:rsidRPr="00CB337C">
        <w:rPr>
          <w:rFonts w:cstheme="minorHAnsi"/>
        </w:rPr>
        <w:t>As noted above, i</w:t>
      </w:r>
      <w:r w:rsidRPr="00CB337C">
        <w:rPr>
          <w:rFonts w:cstheme="minorHAnsi"/>
        </w:rPr>
        <w:t xml:space="preserve">t is an unfortunate by-product of our national obsession with progression to third level, an obsession that distorts the true meaning of education and invites unfair and invalid comparisons between schools.  This creates </w:t>
      </w:r>
      <w:proofErr w:type="gramStart"/>
      <w:r w:rsidRPr="00CB337C">
        <w:rPr>
          <w:rFonts w:cstheme="minorHAnsi"/>
        </w:rPr>
        <w:t>particular difficulties</w:t>
      </w:r>
      <w:proofErr w:type="gramEnd"/>
      <w:r w:rsidRPr="00CB337C">
        <w:rPr>
          <w:rFonts w:cstheme="minorHAnsi"/>
        </w:rPr>
        <w:t xml:space="preserve"> for the LCA programme.</w:t>
      </w:r>
      <w:r w:rsidR="006759EE" w:rsidRPr="00CB337C">
        <w:rPr>
          <w:rFonts w:cstheme="minorHAnsi"/>
        </w:rPr>
        <w:t xml:space="preserve">  It is also noteworthy that much political and media discourse focuses on progression to STEM in higher education rather than recognising the excellent provision available, in STEM and other areas, in the FET sector generally.  Apprenticeships, both new and traditional, and a particular example of how labour market focused provision can work alongside education in its broadest </w:t>
      </w:r>
      <w:proofErr w:type="gramStart"/>
      <w:r w:rsidR="006759EE" w:rsidRPr="00CB337C">
        <w:rPr>
          <w:rFonts w:cstheme="minorHAnsi"/>
        </w:rPr>
        <w:t>sense, and</w:t>
      </w:r>
      <w:proofErr w:type="gramEnd"/>
      <w:r w:rsidR="006759EE" w:rsidRPr="00CB337C">
        <w:rPr>
          <w:rFonts w:cstheme="minorHAnsi"/>
        </w:rPr>
        <w:t xml:space="preserve"> be provided by both the FET and HE sectors.</w:t>
      </w:r>
    </w:p>
    <w:p w14:paraId="595CF55A" w14:textId="77777777" w:rsidR="0055001B" w:rsidRPr="00CB337C" w:rsidRDefault="0055001B" w:rsidP="00CB337C">
      <w:pPr>
        <w:spacing w:after="0" w:line="360" w:lineRule="auto"/>
        <w:jc w:val="both"/>
        <w:rPr>
          <w:rFonts w:cstheme="minorHAnsi"/>
        </w:rPr>
      </w:pPr>
    </w:p>
    <w:p w14:paraId="4F627554" w14:textId="450C70E6" w:rsidR="008C25EE" w:rsidRPr="00CB337C" w:rsidRDefault="008C25EE" w:rsidP="00CB337C">
      <w:pPr>
        <w:autoSpaceDE w:val="0"/>
        <w:autoSpaceDN w:val="0"/>
        <w:adjustRightInd w:val="0"/>
        <w:spacing w:after="0" w:line="360" w:lineRule="auto"/>
        <w:jc w:val="both"/>
        <w:rPr>
          <w:rFonts w:cstheme="minorHAnsi"/>
          <w:b/>
          <w:bCs/>
          <w:u w:val="single"/>
        </w:rPr>
      </w:pPr>
      <w:r w:rsidRPr="00CB337C">
        <w:rPr>
          <w:rFonts w:cstheme="minorHAnsi"/>
          <w:b/>
          <w:bCs/>
          <w:u w:val="single"/>
        </w:rPr>
        <w:t>Benefits of Higher Education</w:t>
      </w:r>
      <w:r w:rsidR="00751FE6">
        <w:rPr>
          <w:rFonts w:cstheme="minorHAnsi"/>
          <w:b/>
          <w:bCs/>
          <w:u w:val="single"/>
        </w:rPr>
        <w:t xml:space="preserve"> Generally</w:t>
      </w:r>
    </w:p>
    <w:p w14:paraId="320BB436" w14:textId="6DBB74F4" w:rsidR="008C25EE" w:rsidRPr="00CB337C" w:rsidRDefault="00F46C7F" w:rsidP="00CB337C">
      <w:pPr>
        <w:autoSpaceDE w:val="0"/>
        <w:autoSpaceDN w:val="0"/>
        <w:adjustRightInd w:val="0"/>
        <w:spacing w:after="0" w:line="360" w:lineRule="auto"/>
        <w:jc w:val="both"/>
        <w:rPr>
          <w:rFonts w:cstheme="minorHAnsi"/>
        </w:rPr>
      </w:pPr>
      <w:r w:rsidRPr="00CB337C">
        <w:rPr>
          <w:rFonts w:cstheme="minorHAnsi"/>
        </w:rPr>
        <w:t>According to the CSO (20</w:t>
      </w:r>
      <w:r w:rsidR="00836BCA" w:rsidRPr="00CB337C">
        <w:rPr>
          <w:rFonts w:cstheme="minorHAnsi"/>
        </w:rPr>
        <w:t>1</w:t>
      </w:r>
      <w:r w:rsidRPr="00CB337C">
        <w:rPr>
          <w:rFonts w:cstheme="minorHAnsi"/>
        </w:rPr>
        <w:t xml:space="preserve">8), </w:t>
      </w:r>
      <w:r w:rsidR="008C25EE" w:rsidRPr="00CB337C">
        <w:rPr>
          <w:rFonts w:cstheme="minorHAnsi"/>
        </w:rPr>
        <w:t xml:space="preserve">Ireland has higher than average rates of third level attainment, and they have increased significantly between 2005 and 2015. In 2015, 52% of Irish </w:t>
      </w:r>
      <w:r w:rsidR="003F2ED9" w:rsidRPr="00CB337C">
        <w:rPr>
          <w:rFonts w:cstheme="minorHAnsi"/>
        </w:rPr>
        <w:t>25–34-year-olds</w:t>
      </w:r>
      <w:r w:rsidR="008C25EE" w:rsidRPr="00CB337C">
        <w:rPr>
          <w:rFonts w:cstheme="minorHAnsi"/>
        </w:rPr>
        <w:t xml:space="preserve"> had completed third level education, compared with the OECD average of 42%. Overall, levels of third level </w:t>
      </w:r>
      <w:r w:rsidR="008C25EE" w:rsidRPr="00CB337C">
        <w:rPr>
          <w:rFonts w:cstheme="minorHAnsi"/>
        </w:rPr>
        <w:lastRenderedPageBreak/>
        <w:t xml:space="preserve">attainment for Irish </w:t>
      </w:r>
      <w:r w:rsidR="003F2ED9" w:rsidRPr="00CB337C">
        <w:rPr>
          <w:rFonts w:cstheme="minorHAnsi"/>
        </w:rPr>
        <w:t>25–64-year-olds</w:t>
      </w:r>
      <w:r w:rsidR="008C25EE" w:rsidRPr="00CB337C">
        <w:rPr>
          <w:rFonts w:cstheme="minorHAnsi"/>
        </w:rPr>
        <w:t xml:space="preserve"> have increased from 29% in 2005 to 43% in 2015 (OECD figures are 27% to 35% respectively). Entry rates (the proportion of people who are expected to enter third level during their lifetime) are also significantly higher in Ireland than across the OECD as a whole (81% vs 59% OECD for a </w:t>
      </w:r>
      <w:proofErr w:type="gramStart"/>
      <w:r w:rsidR="008C25EE" w:rsidRPr="00CB337C">
        <w:rPr>
          <w:rFonts w:cstheme="minorHAnsi"/>
        </w:rPr>
        <w:t>Bachelor’s Degree</w:t>
      </w:r>
      <w:proofErr w:type="gramEnd"/>
      <w:r w:rsidR="008C25EE" w:rsidRPr="00CB337C">
        <w:rPr>
          <w:rFonts w:cstheme="minorHAnsi"/>
        </w:rPr>
        <w:t>).</w:t>
      </w:r>
    </w:p>
    <w:p w14:paraId="48A90C89" w14:textId="77777777" w:rsidR="00425AD7" w:rsidRPr="00CB337C" w:rsidRDefault="00425AD7" w:rsidP="00CB337C">
      <w:pPr>
        <w:autoSpaceDE w:val="0"/>
        <w:autoSpaceDN w:val="0"/>
        <w:adjustRightInd w:val="0"/>
        <w:spacing w:after="0" w:line="360" w:lineRule="auto"/>
        <w:jc w:val="both"/>
        <w:rPr>
          <w:rFonts w:cstheme="minorHAnsi"/>
        </w:rPr>
      </w:pPr>
    </w:p>
    <w:p w14:paraId="39380922" w14:textId="4C301AD6" w:rsidR="008C25EE" w:rsidRPr="00CB337C" w:rsidRDefault="00F46C7F" w:rsidP="00CB337C">
      <w:pPr>
        <w:autoSpaceDE w:val="0"/>
        <w:autoSpaceDN w:val="0"/>
        <w:adjustRightInd w:val="0"/>
        <w:spacing w:after="0" w:line="360" w:lineRule="auto"/>
        <w:jc w:val="both"/>
        <w:rPr>
          <w:rFonts w:cstheme="minorHAnsi"/>
        </w:rPr>
      </w:pPr>
      <w:r w:rsidRPr="00CB337C">
        <w:rPr>
          <w:rFonts w:cstheme="minorHAnsi"/>
        </w:rPr>
        <w:t>CSO</w:t>
      </w:r>
      <w:r w:rsidR="008C25EE" w:rsidRPr="00CB337C">
        <w:rPr>
          <w:rFonts w:cstheme="minorHAnsi"/>
        </w:rPr>
        <w:t xml:space="preserve"> Statistics </w:t>
      </w:r>
      <w:r w:rsidRPr="00CB337C">
        <w:rPr>
          <w:rFonts w:cstheme="minorHAnsi"/>
        </w:rPr>
        <w:t xml:space="preserve">(CSO, 2018) </w:t>
      </w:r>
      <w:r w:rsidR="008C25EE" w:rsidRPr="00CB337C">
        <w:rPr>
          <w:rFonts w:cstheme="minorHAnsi"/>
        </w:rPr>
        <w:t xml:space="preserve">show that graduates from Irish higher education institutions experience relatively high rates of employment. In 2011, a CSO study noted that the unemployment rate for higher education graduates was 7%, and this compared with 18% for those with a post-Leaving Certificate qualification and 14% with a higher secondary education. Similarly, the employment rate for higher education graduates was 81%, compared with 64% for those with a post-Leaving Certificate qualification and 65% for those with higher secondary education only. Based on 2016 Q4 CSO Quarterly National Household Survey data, the unemployment rate for those with higher education was 3.7%. The figure was 9.2% for those with an upper secondary education and 12.7% for those with a lower secondary education. As with the </w:t>
      </w:r>
      <w:proofErr w:type="gramStart"/>
      <w:r w:rsidR="008C25EE" w:rsidRPr="00CB337C">
        <w:rPr>
          <w:rFonts w:cstheme="minorHAnsi"/>
        </w:rPr>
        <w:t>OECD as a whole, Irish</w:t>
      </w:r>
      <w:proofErr w:type="gramEnd"/>
      <w:r w:rsidR="008C25EE" w:rsidRPr="00CB337C">
        <w:rPr>
          <w:rFonts w:cstheme="minorHAnsi"/>
        </w:rPr>
        <w:t xml:space="preserve"> graduates have lower unemployment and higher employment rates than those without a third level qualification; and employment rates for graduates are in line with OECD averages</w:t>
      </w:r>
      <w:r w:rsidR="00836BCA" w:rsidRPr="00CB337C">
        <w:rPr>
          <w:rFonts w:cstheme="minorHAnsi"/>
        </w:rPr>
        <w:t xml:space="preserve"> </w:t>
      </w:r>
      <w:r w:rsidR="008C25EE" w:rsidRPr="00CB337C">
        <w:rPr>
          <w:rFonts w:cstheme="minorHAnsi"/>
        </w:rPr>
        <w:t>(CSO, 2018)</w:t>
      </w:r>
      <w:r w:rsidR="00836BCA" w:rsidRPr="00CB337C">
        <w:rPr>
          <w:rFonts w:cstheme="minorHAnsi"/>
        </w:rPr>
        <w:t>.  The same CS</w:t>
      </w:r>
      <w:r w:rsidR="00E14A80" w:rsidRPr="00CB337C">
        <w:rPr>
          <w:rFonts w:cstheme="minorHAnsi"/>
        </w:rPr>
        <w:t>O</w:t>
      </w:r>
      <w:r w:rsidR="00836BCA" w:rsidRPr="00CB337C">
        <w:rPr>
          <w:rFonts w:cstheme="minorHAnsi"/>
        </w:rPr>
        <w:t xml:space="preserve"> report (2018) found that t</w:t>
      </w:r>
      <w:r w:rsidR="008C25EE" w:rsidRPr="00CB337C">
        <w:rPr>
          <w:rFonts w:cstheme="minorHAnsi"/>
        </w:rPr>
        <w:t>he earnings advantage for third level education in Ireland was higher than the OECD average in 2015: on average third level graduates in Ireland earned 66% more than those with just an upper secondary education, compared to a differential of 60% across the OECD.</w:t>
      </w:r>
    </w:p>
    <w:p w14:paraId="0839F229" w14:textId="77777777" w:rsidR="008C25EE" w:rsidRPr="00CB337C" w:rsidRDefault="008C25EE" w:rsidP="00CB337C">
      <w:pPr>
        <w:autoSpaceDE w:val="0"/>
        <w:autoSpaceDN w:val="0"/>
        <w:adjustRightInd w:val="0"/>
        <w:spacing w:after="0" w:line="360" w:lineRule="auto"/>
        <w:jc w:val="both"/>
        <w:rPr>
          <w:rFonts w:cstheme="minorHAnsi"/>
          <w:b/>
          <w:bCs/>
          <w:u w:val="single"/>
        </w:rPr>
      </w:pPr>
    </w:p>
    <w:p w14:paraId="62796131" w14:textId="57087CD2" w:rsidR="00404331" w:rsidRPr="00CB337C" w:rsidRDefault="00836BCA" w:rsidP="00CB337C">
      <w:pPr>
        <w:pStyle w:val="Heading3"/>
        <w:spacing w:line="360" w:lineRule="auto"/>
        <w:jc w:val="both"/>
        <w:rPr>
          <w:rFonts w:asciiTheme="minorHAnsi" w:eastAsiaTheme="minorHAnsi" w:hAnsiTheme="minorHAnsi" w:cstheme="minorHAnsi"/>
          <w:color w:val="auto"/>
          <w:sz w:val="22"/>
          <w:szCs w:val="22"/>
        </w:rPr>
      </w:pPr>
      <w:r w:rsidRPr="00CB337C">
        <w:rPr>
          <w:rFonts w:asciiTheme="minorHAnsi" w:eastAsiaTheme="minorHAnsi" w:hAnsiTheme="minorHAnsi" w:cstheme="minorHAnsi"/>
          <w:color w:val="auto"/>
          <w:sz w:val="22"/>
          <w:szCs w:val="22"/>
        </w:rPr>
        <w:t xml:space="preserve">In a study in Ireland, </w:t>
      </w:r>
      <w:proofErr w:type="spellStart"/>
      <w:r w:rsidRPr="00CB337C">
        <w:rPr>
          <w:rFonts w:asciiTheme="minorHAnsi" w:eastAsiaTheme="minorHAnsi" w:hAnsiTheme="minorHAnsi" w:cstheme="minorHAnsi"/>
          <w:color w:val="auto"/>
          <w:sz w:val="22"/>
          <w:szCs w:val="22"/>
        </w:rPr>
        <w:t>Indecon</w:t>
      </w:r>
      <w:proofErr w:type="spellEnd"/>
      <w:r w:rsidRPr="00CB337C">
        <w:rPr>
          <w:rFonts w:asciiTheme="minorHAnsi" w:eastAsiaTheme="minorHAnsi" w:hAnsiTheme="minorHAnsi" w:cstheme="minorHAnsi"/>
          <w:color w:val="auto"/>
          <w:sz w:val="22"/>
          <w:szCs w:val="22"/>
        </w:rPr>
        <w:t xml:space="preserve"> (2019) found that t</w:t>
      </w:r>
      <w:r w:rsidR="00404331" w:rsidRPr="00CB337C">
        <w:rPr>
          <w:rFonts w:asciiTheme="minorHAnsi" w:eastAsiaTheme="minorHAnsi" w:hAnsiTheme="minorHAnsi" w:cstheme="minorHAnsi"/>
          <w:color w:val="auto"/>
          <w:sz w:val="22"/>
          <w:szCs w:val="22"/>
        </w:rPr>
        <w:t xml:space="preserve">he estimated net graduate premium (to the individual) of an undergraduate degree is €106,000 (€118k male and €96k female).  The additional net graduate premium (over and above degree) for a taught </w:t>
      </w:r>
      <w:proofErr w:type="gramStart"/>
      <w:r w:rsidR="00404331" w:rsidRPr="00CB337C">
        <w:rPr>
          <w:rFonts w:asciiTheme="minorHAnsi" w:eastAsiaTheme="minorHAnsi" w:hAnsiTheme="minorHAnsi" w:cstheme="minorHAnsi"/>
          <w:color w:val="auto"/>
          <w:sz w:val="22"/>
          <w:szCs w:val="22"/>
        </w:rPr>
        <w:t>Masters</w:t>
      </w:r>
      <w:proofErr w:type="gramEnd"/>
      <w:r w:rsidR="00404331" w:rsidRPr="00CB337C">
        <w:rPr>
          <w:rFonts w:asciiTheme="minorHAnsi" w:eastAsiaTheme="minorHAnsi" w:hAnsiTheme="minorHAnsi" w:cstheme="minorHAnsi"/>
          <w:color w:val="auto"/>
          <w:sz w:val="22"/>
          <w:szCs w:val="22"/>
        </w:rPr>
        <w:t xml:space="preserve"> is €40k (Male €36k, female €44k) and €116k for a Ph.D. (€118k for a male and €115k for a female).  For a representative student completing a full-time undergraduate degree the net Exchequer benefit is estimated at €62,000 (male €75k, female €51k), on average per graduate.</w:t>
      </w:r>
      <w:r w:rsidR="00751FE6">
        <w:rPr>
          <w:rFonts w:asciiTheme="minorHAnsi" w:eastAsiaTheme="minorHAnsi" w:hAnsiTheme="minorHAnsi" w:cstheme="minorHAnsi"/>
          <w:color w:val="auto"/>
          <w:sz w:val="22"/>
          <w:szCs w:val="22"/>
        </w:rPr>
        <w:t xml:space="preserve">  There is a strong and clear economic argument for significant Government investment in higher education in all subject areas.</w:t>
      </w:r>
    </w:p>
    <w:p w14:paraId="659274DB" w14:textId="77777777" w:rsidR="00404331" w:rsidRPr="00CB337C" w:rsidRDefault="00404331" w:rsidP="00CB337C">
      <w:pPr>
        <w:spacing w:after="0" w:line="360" w:lineRule="auto"/>
        <w:jc w:val="both"/>
        <w:rPr>
          <w:rFonts w:cstheme="minorHAnsi"/>
          <w:lang w:val="en-GB"/>
        </w:rPr>
      </w:pPr>
    </w:p>
    <w:p w14:paraId="5CDAF2B7" w14:textId="0F3BE7D8" w:rsidR="008C25EE" w:rsidRPr="00CB337C" w:rsidRDefault="008C25EE" w:rsidP="00CB337C">
      <w:pPr>
        <w:autoSpaceDE w:val="0"/>
        <w:autoSpaceDN w:val="0"/>
        <w:adjustRightInd w:val="0"/>
        <w:spacing w:after="0" w:line="360" w:lineRule="auto"/>
        <w:jc w:val="both"/>
        <w:rPr>
          <w:rFonts w:cstheme="minorHAnsi"/>
          <w:b/>
          <w:bCs/>
          <w:u w:val="single"/>
        </w:rPr>
      </w:pPr>
      <w:r w:rsidRPr="00CB337C">
        <w:rPr>
          <w:rFonts w:cstheme="minorHAnsi"/>
          <w:b/>
          <w:bCs/>
          <w:u w:val="single"/>
        </w:rPr>
        <w:t>Distinctive Features of the IoT/TU Sector</w:t>
      </w:r>
    </w:p>
    <w:p w14:paraId="6D90BDE6" w14:textId="59530EB1" w:rsidR="008C25EE" w:rsidRPr="00CB337C" w:rsidRDefault="008C25EE" w:rsidP="00CB337C">
      <w:pPr>
        <w:autoSpaceDE w:val="0"/>
        <w:autoSpaceDN w:val="0"/>
        <w:adjustRightInd w:val="0"/>
        <w:spacing w:after="0" w:line="360" w:lineRule="auto"/>
        <w:jc w:val="both"/>
        <w:rPr>
          <w:rFonts w:cstheme="minorHAnsi"/>
        </w:rPr>
      </w:pPr>
      <w:r w:rsidRPr="00CB337C">
        <w:rPr>
          <w:rFonts w:cstheme="minorHAnsi"/>
        </w:rPr>
        <w:t>According to</w:t>
      </w:r>
      <w:r w:rsidR="007E2CA8" w:rsidRPr="00CB337C">
        <w:rPr>
          <w:rFonts w:cstheme="minorHAnsi"/>
        </w:rPr>
        <w:t xml:space="preserve"> Erskine, S. &amp; Harmon, D. (2020: 11), </w:t>
      </w:r>
      <w:r w:rsidRPr="00CB337C">
        <w:rPr>
          <w:rFonts w:cstheme="minorHAnsi"/>
        </w:rPr>
        <w:t>“Institutes of Technology appear to be more willing to recognise competences and experiences outside of education than Universities in admitting students to their programmes.”</w:t>
      </w:r>
      <w:r w:rsidRPr="00CB337C">
        <w:rPr>
          <w:rFonts w:cstheme="minorHAnsi"/>
        </w:rPr>
        <w:tab/>
      </w:r>
      <w:r w:rsidR="007E2CA8" w:rsidRPr="00CB337C">
        <w:rPr>
          <w:rFonts w:cstheme="minorHAnsi"/>
        </w:rPr>
        <w:t xml:space="preserve">Erskine, S. &amp; Harmon, D. (2020: 55) </w:t>
      </w:r>
      <w:r w:rsidRPr="00CB337C">
        <w:rPr>
          <w:rFonts w:cstheme="minorHAnsi"/>
        </w:rPr>
        <w:t xml:space="preserve">also notes that “students in Institutes of Technology appear </w:t>
      </w:r>
      <w:r w:rsidR="00E14A80" w:rsidRPr="00CB337C">
        <w:rPr>
          <w:rFonts w:cstheme="minorHAnsi"/>
        </w:rPr>
        <w:t xml:space="preserve">to </w:t>
      </w:r>
      <w:r w:rsidRPr="00CB337C">
        <w:rPr>
          <w:rFonts w:cstheme="minorHAnsi"/>
        </w:rPr>
        <w:t xml:space="preserve">get along better with their teaching staff than students in </w:t>
      </w:r>
      <w:r w:rsidRPr="00CB337C">
        <w:rPr>
          <w:rFonts w:cstheme="minorHAnsi"/>
        </w:rPr>
        <w:lastRenderedPageBreak/>
        <w:t>Universities. Similar patterns emerge for part-time students over full-time students, and for postgraduates over undergraduates”</w:t>
      </w:r>
      <w:r w:rsidR="007E2CA8" w:rsidRPr="00CB337C">
        <w:rPr>
          <w:rFonts w:cstheme="minorHAnsi"/>
        </w:rPr>
        <w:t>.</w:t>
      </w:r>
    </w:p>
    <w:p w14:paraId="23197BEB" w14:textId="77777777" w:rsidR="0096518E" w:rsidRPr="00CB337C" w:rsidRDefault="0096518E" w:rsidP="00CB337C">
      <w:pPr>
        <w:spacing w:line="360" w:lineRule="auto"/>
        <w:jc w:val="both"/>
        <w:rPr>
          <w:rFonts w:cstheme="minorHAnsi"/>
          <w:b/>
          <w:bCs/>
          <w:u w:val="single"/>
        </w:rPr>
      </w:pPr>
    </w:p>
    <w:p w14:paraId="2536B93B" w14:textId="3E99D792" w:rsidR="0096518E" w:rsidRPr="00CB337C" w:rsidRDefault="0096518E" w:rsidP="00CB337C">
      <w:pPr>
        <w:autoSpaceDE w:val="0"/>
        <w:autoSpaceDN w:val="0"/>
        <w:adjustRightInd w:val="0"/>
        <w:spacing w:after="0" w:line="360" w:lineRule="auto"/>
        <w:jc w:val="both"/>
        <w:rPr>
          <w:rFonts w:eastAsiaTheme="minorEastAsia" w:cstheme="minorHAnsi"/>
          <w:lang w:eastAsia="en-IE"/>
        </w:rPr>
      </w:pPr>
      <w:r w:rsidRPr="00CB337C">
        <w:rPr>
          <w:rFonts w:cstheme="minorHAnsi"/>
          <w:bCs/>
        </w:rPr>
        <w:t>DES (2019)</w:t>
      </w:r>
      <w:r w:rsidR="007E2CA8" w:rsidRPr="00CB337C">
        <w:rPr>
          <w:rFonts w:cstheme="minorHAnsi"/>
          <w:bCs/>
        </w:rPr>
        <w:t xml:space="preserve"> has stated that in 2017 t</w:t>
      </w:r>
      <w:r w:rsidRPr="00CB337C">
        <w:rPr>
          <w:rFonts w:eastAsiaTheme="minorEastAsia" w:cstheme="minorHAnsi"/>
          <w:bCs/>
          <w:lang w:eastAsia="en-IE"/>
        </w:rPr>
        <w:t>here</w:t>
      </w:r>
      <w:r w:rsidRPr="00CB337C">
        <w:rPr>
          <w:rFonts w:eastAsiaTheme="minorEastAsia" w:cstheme="minorHAnsi"/>
          <w:lang w:eastAsia="en-IE"/>
        </w:rPr>
        <w:t xml:space="preserve"> were 16,649 part-time students in university, and 23,452 part-time students in IoTs.</w:t>
      </w:r>
      <w:r w:rsidR="007E2CA8" w:rsidRPr="00CB337C">
        <w:rPr>
          <w:rFonts w:eastAsiaTheme="minorEastAsia" w:cstheme="minorHAnsi"/>
          <w:lang w:eastAsia="en-IE"/>
        </w:rPr>
        <w:t xml:space="preserve">  Hence part-time students are significantly more likely to attend the IoT/TU sector</w:t>
      </w:r>
      <w:r w:rsidR="00A71439" w:rsidRPr="00CB337C">
        <w:rPr>
          <w:rFonts w:eastAsiaTheme="minorEastAsia" w:cstheme="minorHAnsi"/>
          <w:lang w:eastAsia="en-IE"/>
        </w:rPr>
        <w:t xml:space="preserve"> as universities have 1.33 times the number of </w:t>
      </w:r>
      <w:r w:rsidR="00BD068D" w:rsidRPr="00CB337C">
        <w:rPr>
          <w:rFonts w:eastAsiaTheme="minorEastAsia" w:cstheme="minorHAnsi"/>
          <w:lang w:eastAsia="en-IE"/>
        </w:rPr>
        <w:t xml:space="preserve">all </w:t>
      </w:r>
      <w:r w:rsidR="00A71439" w:rsidRPr="00CB337C">
        <w:rPr>
          <w:rFonts w:eastAsiaTheme="minorEastAsia" w:cstheme="minorHAnsi"/>
          <w:lang w:eastAsia="en-IE"/>
        </w:rPr>
        <w:t>students overall compared to the IoT/TU sector (HEA, 2017)</w:t>
      </w:r>
      <w:r w:rsidR="007E2CA8" w:rsidRPr="00CB337C">
        <w:rPr>
          <w:rFonts w:eastAsiaTheme="minorEastAsia" w:cstheme="minorHAnsi"/>
          <w:lang w:eastAsia="en-IE"/>
        </w:rPr>
        <w:t>.  Part-time education is an important entry point to HE for students from under-represented groups especially mature students.</w:t>
      </w:r>
    </w:p>
    <w:p w14:paraId="3F6CD7F6" w14:textId="77777777" w:rsidR="0096518E" w:rsidRPr="00CB337C" w:rsidRDefault="0096518E" w:rsidP="00CB337C">
      <w:pPr>
        <w:autoSpaceDE w:val="0"/>
        <w:autoSpaceDN w:val="0"/>
        <w:adjustRightInd w:val="0"/>
        <w:spacing w:after="0" w:line="360" w:lineRule="auto"/>
        <w:jc w:val="both"/>
        <w:rPr>
          <w:rFonts w:cstheme="minorHAnsi"/>
        </w:rPr>
      </w:pPr>
    </w:p>
    <w:p w14:paraId="3E378788" w14:textId="0354BDEE" w:rsidR="0096518E" w:rsidRPr="00CB337C" w:rsidRDefault="0096518E" w:rsidP="00CB337C">
      <w:pPr>
        <w:autoSpaceDE w:val="0"/>
        <w:autoSpaceDN w:val="0"/>
        <w:adjustRightInd w:val="0"/>
        <w:spacing w:after="0" w:line="360" w:lineRule="auto"/>
        <w:jc w:val="both"/>
        <w:rPr>
          <w:rFonts w:cstheme="minorHAnsi"/>
        </w:rPr>
      </w:pPr>
      <w:r w:rsidRPr="00CB337C">
        <w:rPr>
          <w:rFonts w:cstheme="minorHAnsi"/>
        </w:rPr>
        <w:t>According to Liston et. al. (2018), IoTs have more male entrants than female (in contrast to the situation in the universities).  Guidance education is important before and during all stages of education.  On average 14% of students do not progress from one year of their course to the next.  The rates are especially high in Level 6 and Level 7, and in the IoTs.  However, there is no statistical difference in non-progression in the IoTs vis-à-vis the universities when you adjust for the more diverse student population in the IoTs.  The strongest predictor of non-progression is prior educational attainment.</w:t>
      </w:r>
      <w:r w:rsidR="00E14A80" w:rsidRPr="00CB337C">
        <w:rPr>
          <w:rFonts w:cstheme="minorHAnsi"/>
        </w:rPr>
        <w:t xml:space="preserve">  Access to comprehensive guidance support, in school/FE/HE and community settings</w:t>
      </w:r>
      <w:r w:rsidR="0052098E" w:rsidRPr="00CB337C">
        <w:rPr>
          <w:rFonts w:cstheme="minorHAnsi"/>
        </w:rPr>
        <w:t>, can reduce the levels of non-completion of HE courses by students.</w:t>
      </w:r>
    </w:p>
    <w:p w14:paraId="73572ECA" w14:textId="77777777" w:rsidR="0096518E" w:rsidRPr="00CB337C" w:rsidRDefault="0096518E" w:rsidP="00CB337C">
      <w:pPr>
        <w:autoSpaceDE w:val="0"/>
        <w:autoSpaceDN w:val="0"/>
        <w:adjustRightInd w:val="0"/>
        <w:spacing w:after="0" w:line="360" w:lineRule="auto"/>
        <w:jc w:val="both"/>
        <w:rPr>
          <w:rFonts w:cstheme="minorHAnsi"/>
        </w:rPr>
      </w:pPr>
    </w:p>
    <w:p w14:paraId="72AAF909" w14:textId="583A6206" w:rsidR="0096518E" w:rsidRPr="00CB337C" w:rsidRDefault="008A530F" w:rsidP="00CB337C">
      <w:pPr>
        <w:autoSpaceDE w:val="0"/>
        <w:autoSpaceDN w:val="0"/>
        <w:adjustRightInd w:val="0"/>
        <w:spacing w:after="0" w:line="360" w:lineRule="auto"/>
        <w:jc w:val="both"/>
        <w:rPr>
          <w:rFonts w:cstheme="minorHAnsi"/>
        </w:rPr>
      </w:pPr>
      <w:bookmarkStart w:id="3" w:name="_Hlk24044953"/>
      <w:r w:rsidRPr="00CB337C">
        <w:rPr>
          <w:rFonts w:cstheme="minorHAnsi"/>
        </w:rPr>
        <w:t xml:space="preserve">HEA (2019c) has found that </w:t>
      </w:r>
      <w:r w:rsidR="0096518E" w:rsidRPr="00CB337C">
        <w:rPr>
          <w:rFonts w:cstheme="minorHAnsi"/>
        </w:rPr>
        <w:t>15% of graduates from IoTs attended DEIS schools compared to just 8% of university graduates.  7% of IoT graduates attended fee paying schools compared to 13% of university graduates</w:t>
      </w:r>
      <w:r w:rsidRPr="00CB337C">
        <w:rPr>
          <w:rFonts w:cstheme="minorHAnsi"/>
        </w:rPr>
        <w:t>.</w:t>
      </w:r>
    </w:p>
    <w:p w14:paraId="2420BFA3" w14:textId="77777777" w:rsidR="0096518E" w:rsidRPr="00CB337C" w:rsidRDefault="0096518E" w:rsidP="00CB337C">
      <w:pPr>
        <w:autoSpaceDE w:val="0"/>
        <w:autoSpaceDN w:val="0"/>
        <w:adjustRightInd w:val="0"/>
        <w:spacing w:after="0" w:line="360" w:lineRule="auto"/>
        <w:jc w:val="both"/>
        <w:rPr>
          <w:rFonts w:cstheme="minorHAnsi"/>
        </w:rPr>
      </w:pPr>
    </w:p>
    <w:p w14:paraId="671B2DB4" w14:textId="6FB04B87" w:rsidR="0096518E" w:rsidRPr="00CB337C" w:rsidRDefault="008A530F" w:rsidP="00CB337C">
      <w:pPr>
        <w:autoSpaceDE w:val="0"/>
        <w:autoSpaceDN w:val="0"/>
        <w:adjustRightInd w:val="0"/>
        <w:spacing w:after="0" w:line="360" w:lineRule="auto"/>
        <w:jc w:val="both"/>
        <w:rPr>
          <w:rFonts w:cstheme="minorHAnsi"/>
        </w:rPr>
      </w:pPr>
      <w:r w:rsidRPr="00CB337C">
        <w:rPr>
          <w:rFonts w:cstheme="minorHAnsi"/>
        </w:rPr>
        <w:t>According to Thorn (2018), t</w:t>
      </w:r>
      <w:r w:rsidR="0096518E" w:rsidRPr="00CB337C">
        <w:rPr>
          <w:rFonts w:cstheme="minorHAnsi"/>
        </w:rPr>
        <w:t>he IoTs have 22% of their students registered as flexible learners (part-time, distance and e-learning) compared to 17% for the universities.  The distinction comes in terms of socio-economic class: 31% of students in the institutes come from the non-manual, semi-skilled or unskilled group compared to 21% in the universities (Thorn, 2018).</w:t>
      </w:r>
    </w:p>
    <w:p w14:paraId="18B54BA1" w14:textId="77777777" w:rsidR="0096518E" w:rsidRPr="00CB337C" w:rsidRDefault="0096518E" w:rsidP="00CB337C">
      <w:pPr>
        <w:autoSpaceDE w:val="0"/>
        <w:autoSpaceDN w:val="0"/>
        <w:adjustRightInd w:val="0"/>
        <w:spacing w:after="0" w:line="360" w:lineRule="auto"/>
        <w:jc w:val="both"/>
        <w:rPr>
          <w:rFonts w:cstheme="minorHAnsi"/>
        </w:rPr>
      </w:pPr>
    </w:p>
    <w:p w14:paraId="34D45364" w14:textId="77777777" w:rsidR="009900FB" w:rsidRPr="00CB337C" w:rsidRDefault="009900FB" w:rsidP="00CB337C">
      <w:pPr>
        <w:pStyle w:val="Default"/>
        <w:spacing w:line="360" w:lineRule="auto"/>
        <w:jc w:val="both"/>
        <w:rPr>
          <w:rFonts w:asciiTheme="minorHAnsi" w:eastAsia="ArialMT" w:hAnsiTheme="minorHAnsi" w:cstheme="minorHAnsi"/>
          <w:color w:val="auto"/>
          <w:sz w:val="22"/>
          <w:szCs w:val="22"/>
        </w:rPr>
      </w:pPr>
      <w:r w:rsidRPr="00CB337C">
        <w:rPr>
          <w:rFonts w:asciiTheme="minorHAnsi" w:hAnsiTheme="minorHAnsi" w:cstheme="minorHAnsi"/>
          <w:color w:val="auto"/>
          <w:sz w:val="22"/>
          <w:szCs w:val="22"/>
        </w:rPr>
        <w:t xml:space="preserve">As stated in </w:t>
      </w:r>
      <w:proofErr w:type="spellStart"/>
      <w:r w:rsidRPr="00CB337C">
        <w:rPr>
          <w:rFonts w:asciiTheme="minorHAnsi" w:hAnsiTheme="minorHAnsi" w:cstheme="minorHAnsi"/>
          <w:color w:val="auto"/>
          <w:sz w:val="22"/>
          <w:szCs w:val="22"/>
        </w:rPr>
        <w:t>Phulphagar</w:t>
      </w:r>
      <w:proofErr w:type="spellEnd"/>
      <w:r w:rsidRPr="00CB337C">
        <w:rPr>
          <w:rFonts w:asciiTheme="minorHAnsi" w:hAnsiTheme="minorHAnsi" w:cstheme="minorHAnsi"/>
          <w:color w:val="auto"/>
          <w:sz w:val="22"/>
          <w:szCs w:val="22"/>
        </w:rPr>
        <w:t xml:space="preserve"> &amp; Kane (2020: 2)</w:t>
      </w:r>
    </w:p>
    <w:p w14:paraId="7E230EEA" w14:textId="2ED9FD0D" w:rsidR="0096518E" w:rsidRPr="00CB337C" w:rsidRDefault="0096518E" w:rsidP="00CB337C">
      <w:pPr>
        <w:pStyle w:val="Default"/>
        <w:spacing w:line="360" w:lineRule="auto"/>
        <w:jc w:val="both"/>
        <w:rPr>
          <w:rFonts w:asciiTheme="minorHAnsi" w:eastAsia="ArialMT" w:hAnsiTheme="minorHAnsi" w:cstheme="minorHAnsi"/>
          <w:color w:val="auto"/>
          <w:sz w:val="22"/>
          <w:szCs w:val="22"/>
        </w:rPr>
      </w:pPr>
      <w:r w:rsidRPr="00CB337C">
        <w:rPr>
          <w:rFonts w:asciiTheme="minorHAnsi" w:hAnsiTheme="minorHAnsi" w:cstheme="minorHAnsi"/>
          <w:color w:val="auto"/>
          <w:sz w:val="22"/>
          <w:szCs w:val="22"/>
        </w:rPr>
        <w:t>“Over half of students enrolled in Institutes of Technology receive a SUSI grant</w:t>
      </w:r>
      <w:r w:rsidR="0052098E" w:rsidRPr="00CB337C">
        <w:rPr>
          <w:rFonts w:asciiTheme="minorHAnsi" w:hAnsiTheme="minorHAnsi" w:cstheme="minorHAnsi"/>
          <w:color w:val="auto"/>
          <w:sz w:val="22"/>
          <w:szCs w:val="22"/>
        </w:rPr>
        <w:t>…</w:t>
      </w:r>
      <w:r w:rsidRPr="00CB337C">
        <w:rPr>
          <w:rFonts w:asciiTheme="minorHAnsi" w:hAnsiTheme="minorHAnsi" w:cstheme="minorHAnsi"/>
          <w:color w:val="auto"/>
          <w:sz w:val="22"/>
          <w:szCs w:val="22"/>
        </w:rPr>
        <w:t>while between 35% and 45% of students in universities receive a SUSI grant</w:t>
      </w:r>
      <w:r w:rsidR="0052098E" w:rsidRPr="00CB337C">
        <w:rPr>
          <w:rFonts w:asciiTheme="minorHAnsi" w:hAnsiTheme="minorHAnsi" w:cstheme="minorHAnsi"/>
          <w:color w:val="auto"/>
          <w:sz w:val="22"/>
          <w:szCs w:val="22"/>
        </w:rPr>
        <w:t>.</w:t>
      </w:r>
      <w:r w:rsidRPr="00CB337C">
        <w:rPr>
          <w:rFonts w:asciiTheme="minorHAnsi" w:hAnsiTheme="minorHAnsi" w:cstheme="minorHAnsi"/>
          <w:color w:val="auto"/>
          <w:sz w:val="22"/>
          <w:szCs w:val="22"/>
        </w:rPr>
        <w:t>”</w:t>
      </w:r>
      <w:r w:rsidRPr="00CB337C">
        <w:rPr>
          <w:rFonts w:asciiTheme="minorHAnsi" w:hAnsiTheme="minorHAnsi" w:cstheme="minorHAnsi"/>
          <w:color w:val="auto"/>
          <w:sz w:val="22"/>
          <w:szCs w:val="22"/>
        </w:rPr>
        <w:tab/>
      </w:r>
    </w:p>
    <w:p w14:paraId="22002663" w14:textId="77777777" w:rsidR="0096518E" w:rsidRPr="00CB337C" w:rsidRDefault="0096518E" w:rsidP="00CB337C">
      <w:pPr>
        <w:autoSpaceDE w:val="0"/>
        <w:autoSpaceDN w:val="0"/>
        <w:adjustRightInd w:val="0"/>
        <w:spacing w:after="0" w:line="360" w:lineRule="auto"/>
        <w:jc w:val="both"/>
        <w:rPr>
          <w:rFonts w:cstheme="minorHAnsi"/>
        </w:rPr>
      </w:pPr>
    </w:p>
    <w:p w14:paraId="7ACD75B5" w14:textId="7E3270F9" w:rsidR="0096518E" w:rsidRPr="00CB337C" w:rsidRDefault="00C01181" w:rsidP="00CB337C">
      <w:pPr>
        <w:autoSpaceDE w:val="0"/>
        <w:autoSpaceDN w:val="0"/>
        <w:adjustRightInd w:val="0"/>
        <w:spacing w:after="0" w:line="360" w:lineRule="auto"/>
        <w:jc w:val="both"/>
        <w:rPr>
          <w:rFonts w:cstheme="minorHAnsi"/>
        </w:rPr>
      </w:pPr>
      <w:r w:rsidRPr="00CB337C">
        <w:rPr>
          <w:rFonts w:cstheme="minorHAnsi"/>
        </w:rPr>
        <w:t xml:space="preserve">HEA (2019b) has found that </w:t>
      </w:r>
      <w:r w:rsidR="0096518E" w:rsidRPr="00CB337C">
        <w:rPr>
          <w:rFonts w:cstheme="minorHAnsi"/>
        </w:rPr>
        <w:t>100% of universities have many more ‘affluent’ students than ‘disadvantaged’ students.  In the case of the IoTs the same figure is just 29%.</w:t>
      </w:r>
    </w:p>
    <w:p w14:paraId="3729A77A" w14:textId="77777777" w:rsidR="0096518E" w:rsidRPr="00CB337C" w:rsidRDefault="0096518E" w:rsidP="00CB337C">
      <w:pPr>
        <w:autoSpaceDE w:val="0"/>
        <w:autoSpaceDN w:val="0"/>
        <w:adjustRightInd w:val="0"/>
        <w:spacing w:after="0" w:line="360" w:lineRule="auto"/>
        <w:jc w:val="both"/>
        <w:rPr>
          <w:rFonts w:cstheme="minorHAnsi"/>
        </w:rPr>
      </w:pPr>
    </w:p>
    <w:bookmarkEnd w:id="3"/>
    <w:p w14:paraId="15A5F9A5" w14:textId="77777777" w:rsidR="00C01181" w:rsidRPr="00CB337C" w:rsidRDefault="00C01181" w:rsidP="00CB337C">
      <w:pPr>
        <w:autoSpaceDE w:val="0"/>
        <w:autoSpaceDN w:val="0"/>
        <w:adjustRightInd w:val="0"/>
        <w:spacing w:after="0" w:line="360" w:lineRule="auto"/>
        <w:jc w:val="both"/>
        <w:rPr>
          <w:rFonts w:cstheme="minorHAnsi"/>
        </w:rPr>
      </w:pPr>
      <w:r w:rsidRPr="00CB337C">
        <w:rPr>
          <w:rFonts w:cstheme="minorHAnsi"/>
        </w:rPr>
        <w:lastRenderedPageBreak/>
        <w:t>Collins et al. (2020: 16) stated that</w:t>
      </w:r>
    </w:p>
    <w:p w14:paraId="44A24F6B" w14:textId="3D41292C" w:rsidR="0096518E" w:rsidRPr="00CB337C" w:rsidRDefault="0096518E" w:rsidP="00CB337C">
      <w:pPr>
        <w:autoSpaceDE w:val="0"/>
        <w:autoSpaceDN w:val="0"/>
        <w:adjustRightInd w:val="0"/>
        <w:spacing w:after="0" w:line="360" w:lineRule="auto"/>
        <w:jc w:val="both"/>
        <w:rPr>
          <w:rFonts w:cstheme="minorHAnsi"/>
        </w:rPr>
      </w:pPr>
      <w:r w:rsidRPr="00CB337C">
        <w:rPr>
          <w:rFonts w:cstheme="minorHAnsi"/>
        </w:rPr>
        <w:t>“Academics in the non-university sector do more teaching than their counterparts in the university sector. While academics in the non-university sector in Ireland spend less time on research than their counterparts in the universities, they outperform the European average for their sector in this regard.”</w:t>
      </w:r>
    </w:p>
    <w:p w14:paraId="21CDA36D" w14:textId="58893687" w:rsidR="0096518E" w:rsidRPr="00CB337C" w:rsidRDefault="0052098E" w:rsidP="00CB337C">
      <w:pPr>
        <w:autoSpaceDE w:val="0"/>
        <w:autoSpaceDN w:val="0"/>
        <w:adjustRightInd w:val="0"/>
        <w:spacing w:after="0" w:line="360" w:lineRule="auto"/>
        <w:jc w:val="both"/>
        <w:rPr>
          <w:rFonts w:cstheme="minorHAnsi"/>
        </w:rPr>
      </w:pPr>
      <w:r w:rsidRPr="00CB337C">
        <w:rPr>
          <w:rFonts w:cstheme="minorHAnsi"/>
        </w:rPr>
        <w:t>This means that staff in the IoT/TU sector have less time to provide one-to-one support to students.</w:t>
      </w:r>
    </w:p>
    <w:p w14:paraId="3C754EBD" w14:textId="77777777" w:rsidR="0052098E" w:rsidRPr="00CB337C" w:rsidRDefault="0052098E" w:rsidP="00CB337C">
      <w:pPr>
        <w:autoSpaceDE w:val="0"/>
        <w:autoSpaceDN w:val="0"/>
        <w:adjustRightInd w:val="0"/>
        <w:spacing w:after="0" w:line="360" w:lineRule="auto"/>
        <w:jc w:val="both"/>
        <w:rPr>
          <w:rFonts w:cstheme="minorHAnsi"/>
        </w:rPr>
      </w:pPr>
    </w:p>
    <w:p w14:paraId="780EC013" w14:textId="0F06DA3F" w:rsidR="0096518E" w:rsidRPr="00CB337C" w:rsidRDefault="0043088D" w:rsidP="00CB337C">
      <w:pPr>
        <w:autoSpaceDE w:val="0"/>
        <w:autoSpaceDN w:val="0"/>
        <w:adjustRightInd w:val="0"/>
        <w:spacing w:after="0" w:line="360" w:lineRule="auto"/>
        <w:jc w:val="both"/>
        <w:rPr>
          <w:rFonts w:cstheme="minorHAnsi"/>
        </w:rPr>
      </w:pPr>
      <w:r w:rsidRPr="00CB337C">
        <w:rPr>
          <w:rFonts w:cstheme="minorHAnsi"/>
        </w:rPr>
        <w:t>According to HEA (2017), t</w:t>
      </w:r>
      <w:r w:rsidR="0096518E" w:rsidRPr="00CB337C">
        <w:rPr>
          <w:rFonts w:cstheme="minorHAnsi"/>
        </w:rPr>
        <w:t>here were 222,618 enrolments in higher education in Ireland in 2015/16. Universities had 1.73 times the staff of the IoT sector despite having only 1.33 times the number of students.</w:t>
      </w:r>
    </w:p>
    <w:p w14:paraId="68EB80D3" w14:textId="77777777" w:rsidR="0096518E" w:rsidRPr="00CB337C" w:rsidRDefault="0096518E" w:rsidP="00CB337C">
      <w:pPr>
        <w:pStyle w:val="PlainText"/>
        <w:spacing w:line="360" w:lineRule="auto"/>
        <w:jc w:val="both"/>
        <w:rPr>
          <w:rFonts w:asciiTheme="minorHAnsi" w:hAnsiTheme="minorHAnsi" w:cstheme="minorHAnsi"/>
          <w:szCs w:val="22"/>
        </w:rPr>
      </w:pPr>
    </w:p>
    <w:p w14:paraId="5EE85B09" w14:textId="77777777" w:rsidR="00DF3151" w:rsidRPr="00CB337C" w:rsidRDefault="00DF3151" w:rsidP="00CB337C">
      <w:pPr>
        <w:spacing w:after="0" w:line="360" w:lineRule="auto"/>
        <w:jc w:val="both"/>
        <w:rPr>
          <w:rFonts w:cstheme="minorHAnsi"/>
          <w:b/>
          <w:u w:val="single"/>
        </w:rPr>
      </w:pPr>
      <w:r w:rsidRPr="00CB337C">
        <w:rPr>
          <w:rFonts w:cstheme="minorHAnsi"/>
          <w:b/>
          <w:u w:val="single"/>
        </w:rPr>
        <w:t>Recommendations</w:t>
      </w:r>
    </w:p>
    <w:p w14:paraId="5C9E3C3C" w14:textId="67A7514C" w:rsidR="00417290" w:rsidRPr="00CB337C" w:rsidRDefault="00D972D5" w:rsidP="00CB337C">
      <w:pPr>
        <w:spacing w:after="0" w:line="360" w:lineRule="auto"/>
        <w:jc w:val="both"/>
        <w:rPr>
          <w:rFonts w:cstheme="minorHAnsi"/>
        </w:rPr>
      </w:pPr>
      <w:r w:rsidRPr="00CB337C">
        <w:rPr>
          <w:rFonts w:cstheme="minorHAnsi"/>
        </w:rPr>
        <w:t>The T</w:t>
      </w:r>
      <w:r w:rsidR="001267B0" w:rsidRPr="00CB337C">
        <w:rPr>
          <w:rFonts w:cstheme="minorHAnsi"/>
        </w:rPr>
        <w:t>U</w:t>
      </w:r>
      <w:r w:rsidRPr="00CB337C">
        <w:rPr>
          <w:rFonts w:cstheme="minorHAnsi"/>
        </w:rPr>
        <w:t xml:space="preserve">I would like to make the following recommendations to the </w:t>
      </w:r>
      <w:r w:rsidR="00751FE6">
        <w:rPr>
          <w:rFonts w:cstheme="minorHAnsi"/>
        </w:rPr>
        <w:t>DE and indeed also the DFHERIS</w:t>
      </w:r>
      <w:r w:rsidR="002D6DF6" w:rsidRPr="00CB337C">
        <w:rPr>
          <w:rFonts w:cstheme="minorHAnsi"/>
        </w:rPr>
        <w:t>:</w:t>
      </w:r>
    </w:p>
    <w:p w14:paraId="3130C959" w14:textId="399B1D14" w:rsidR="00372CB1" w:rsidRPr="00CB337C" w:rsidRDefault="00FD5DDB" w:rsidP="00CB337C">
      <w:pPr>
        <w:pStyle w:val="ListParagraph"/>
        <w:numPr>
          <w:ilvl w:val="0"/>
          <w:numId w:val="39"/>
        </w:numPr>
        <w:spacing w:line="360" w:lineRule="auto"/>
        <w:jc w:val="both"/>
        <w:rPr>
          <w:rFonts w:cstheme="minorHAnsi"/>
        </w:rPr>
      </w:pPr>
      <w:r w:rsidRPr="00CB337C">
        <w:rPr>
          <w:rFonts w:cstheme="minorHAnsi"/>
        </w:rPr>
        <w:t>There needs to be more staff and smaller staff-student ratios in all sectors of the education system</w:t>
      </w:r>
      <w:r w:rsidR="00E86DFF" w:rsidRPr="00CB337C">
        <w:rPr>
          <w:rFonts w:cstheme="minorHAnsi"/>
        </w:rPr>
        <w:t>.</w:t>
      </w:r>
    </w:p>
    <w:p w14:paraId="04DAFB73" w14:textId="45D74481" w:rsidR="00C91E2E" w:rsidRPr="00CB337C" w:rsidRDefault="00C91E2E" w:rsidP="00CB337C">
      <w:pPr>
        <w:pStyle w:val="ListParagraph"/>
        <w:numPr>
          <w:ilvl w:val="0"/>
          <w:numId w:val="39"/>
        </w:numPr>
        <w:spacing w:line="360" w:lineRule="auto"/>
        <w:jc w:val="both"/>
        <w:rPr>
          <w:rFonts w:cstheme="minorHAnsi"/>
        </w:rPr>
      </w:pPr>
      <w:r w:rsidRPr="00CB337C">
        <w:rPr>
          <w:rFonts w:cstheme="minorHAnsi"/>
        </w:rPr>
        <w:t xml:space="preserve">Exchequer funding of </w:t>
      </w:r>
      <w:r w:rsidR="004E2163" w:rsidRPr="00CB337C">
        <w:rPr>
          <w:rFonts w:cstheme="minorHAnsi"/>
        </w:rPr>
        <w:t xml:space="preserve">the </w:t>
      </w:r>
      <w:r w:rsidRPr="00CB337C">
        <w:rPr>
          <w:rFonts w:cstheme="minorHAnsi"/>
        </w:rPr>
        <w:t xml:space="preserve">education </w:t>
      </w:r>
      <w:r w:rsidR="004E2163" w:rsidRPr="00CB337C">
        <w:rPr>
          <w:rFonts w:cstheme="minorHAnsi"/>
        </w:rPr>
        <w:t xml:space="preserve">system </w:t>
      </w:r>
      <w:r w:rsidRPr="00CB337C">
        <w:rPr>
          <w:rFonts w:cstheme="minorHAnsi"/>
        </w:rPr>
        <w:t>must be dramatically increased</w:t>
      </w:r>
      <w:r w:rsidR="00FD5DDB" w:rsidRPr="00CB337C">
        <w:rPr>
          <w:rFonts w:cstheme="minorHAnsi"/>
        </w:rPr>
        <w:t>, starting with a gradual move, over three years, upward towards the international average for investment in education as a percentage of GDP</w:t>
      </w:r>
      <w:r w:rsidRPr="00CB337C">
        <w:rPr>
          <w:rFonts w:cstheme="minorHAnsi"/>
        </w:rPr>
        <w:t>.</w:t>
      </w:r>
    </w:p>
    <w:p w14:paraId="6AA5903C" w14:textId="2AD0928A" w:rsidR="00C91E2E" w:rsidRPr="00CB337C" w:rsidRDefault="00C91E2E" w:rsidP="00CB337C">
      <w:pPr>
        <w:pStyle w:val="ListParagraph"/>
        <w:numPr>
          <w:ilvl w:val="0"/>
          <w:numId w:val="39"/>
        </w:numPr>
        <w:spacing w:line="360" w:lineRule="auto"/>
        <w:jc w:val="both"/>
        <w:rPr>
          <w:rFonts w:cstheme="minorHAnsi"/>
        </w:rPr>
      </w:pPr>
      <w:r w:rsidRPr="00CB337C">
        <w:rPr>
          <w:rFonts w:cstheme="minorHAnsi"/>
        </w:rPr>
        <w:t xml:space="preserve">Greater recognition of, and visibility of, the FE sector is vital due to the essential role it plays in supporting under-represented groups to access levels 5 and 6 of the NFQ, </w:t>
      </w:r>
      <w:proofErr w:type="gramStart"/>
      <w:r w:rsidRPr="00CB337C">
        <w:rPr>
          <w:rFonts w:cstheme="minorHAnsi"/>
        </w:rPr>
        <w:t>and also</w:t>
      </w:r>
      <w:proofErr w:type="gramEnd"/>
      <w:r w:rsidRPr="00CB337C">
        <w:rPr>
          <w:rFonts w:cstheme="minorHAnsi"/>
        </w:rPr>
        <w:t xml:space="preserve"> frequently then accessing levels 7 and 8 of the NFQ.</w:t>
      </w:r>
    </w:p>
    <w:p w14:paraId="1E927055" w14:textId="5037EC87" w:rsidR="00014283" w:rsidRDefault="00014283" w:rsidP="00CB337C">
      <w:pPr>
        <w:pStyle w:val="ListParagraph"/>
        <w:numPr>
          <w:ilvl w:val="0"/>
          <w:numId w:val="39"/>
        </w:numPr>
        <w:spacing w:line="360" w:lineRule="auto"/>
        <w:jc w:val="both"/>
        <w:rPr>
          <w:rFonts w:cstheme="minorHAnsi"/>
        </w:rPr>
      </w:pPr>
      <w:r w:rsidRPr="00CB337C">
        <w:rPr>
          <w:rFonts w:cstheme="minorHAnsi"/>
        </w:rPr>
        <w:t>Additional staffing of guidance services in schools, FE colleges, HE institutions and in the Adult Guidance Service would be helpful.</w:t>
      </w:r>
    </w:p>
    <w:p w14:paraId="0C79E93D" w14:textId="6D3B60F8" w:rsidR="00C42B24" w:rsidRPr="00CB337C" w:rsidRDefault="00C42B24" w:rsidP="00CB337C">
      <w:pPr>
        <w:pStyle w:val="ListParagraph"/>
        <w:numPr>
          <w:ilvl w:val="0"/>
          <w:numId w:val="39"/>
        </w:numPr>
        <w:spacing w:line="360" w:lineRule="auto"/>
        <w:jc w:val="both"/>
        <w:rPr>
          <w:rFonts w:cstheme="minorHAnsi"/>
        </w:rPr>
      </w:pPr>
      <w:r>
        <w:rPr>
          <w:rFonts w:cstheme="minorHAnsi"/>
        </w:rPr>
        <w:t>The combined Phys/Chem course in Leaving Certificate should continue to exist.</w:t>
      </w:r>
    </w:p>
    <w:p w14:paraId="795CDE6D" w14:textId="7A80571C" w:rsidR="0052098E" w:rsidRPr="00CB337C" w:rsidRDefault="0052098E" w:rsidP="00CB337C">
      <w:pPr>
        <w:pStyle w:val="ListParagraph"/>
        <w:numPr>
          <w:ilvl w:val="0"/>
          <w:numId w:val="39"/>
        </w:numPr>
        <w:spacing w:line="360" w:lineRule="auto"/>
        <w:jc w:val="both"/>
        <w:rPr>
          <w:rFonts w:cstheme="minorHAnsi"/>
        </w:rPr>
      </w:pPr>
      <w:r w:rsidRPr="00CB337C">
        <w:rPr>
          <w:rFonts w:cstheme="minorHAnsi"/>
        </w:rPr>
        <w:t>The Points System needs to be reformed.</w:t>
      </w:r>
      <w:r w:rsidR="00703ECB" w:rsidRPr="00CB337C">
        <w:rPr>
          <w:rFonts w:cstheme="minorHAnsi"/>
        </w:rPr>
        <w:t xml:space="preserve">  </w:t>
      </w:r>
    </w:p>
    <w:p w14:paraId="693EDD8D" w14:textId="6E6BE300" w:rsidR="0052098E" w:rsidRPr="00CB337C" w:rsidRDefault="0052098E" w:rsidP="00CB337C">
      <w:pPr>
        <w:pStyle w:val="ListParagraph"/>
        <w:numPr>
          <w:ilvl w:val="0"/>
          <w:numId w:val="39"/>
        </w:numPr>
        <w:spacing w:line="360" w:lineRule="auto"/>
        <w:jc w:val="both"/>
        <w:rPr>
          <w:rFonts w:cstheme="minorHAnsi"/>
        </w:rPr>
      </w:pPr>
      <w:r w:rsidRPr="00CB337C">
        <w:rPr>
          <w:rFonts w:cstheme="minorHAnsi"/>
        </w:rPr>
        <w:t>More progression pathways should be recognised.</w:t>
      </w:r>
    </w:p>
    <w:p w14:paraId="3BF0648C" w14:textId="62E788CB" w:rsidR="00FD5DDB" w:rsidRPr="00CB337C" w:rsidRDefault="00FD5DDB" w:rsidP="00CB337C">
      <w:pPr>
        <w:pStyle w:val="ListParagraph"/>
        <w:numPr>
          <w:ilvl w:val="0"/>
          <w:numId w:val="39"/>
        </w:numPr>
        <w:spacing w:line="360" w:lineRule="auto"/>
        <w:jc w:val="both"/>
        <w:rPr>
          <w:rFonts w:cstheme="minorHAnsi"/>
        </w:rPr>
      </w:pPr>
      <w:r w:rsidRPr="00CB337C">
        <w:rPr>
          <w:rFonts w:cstheme="minorHAnsi"/>
        </w:rPr>
        <w:t>The NCCA Senior Cycle review report should be published as soon as possible.</w:t>
      </w:r>
    </w:p>
    <w:p w14:paraId="6777D226" w14:textId="5F4E0531" w:rsidR="00FD5DDB" w:rsidRPr="00CB337C" w:rsidRDefault="00FD5DDB" w:rsidP="00CB337C">
      <w:pPr>
        <w:pStyle w:val="ListParagraph"/>
        <w:numPr>
          <w:ilvl w:val="0"/>
          <w:numId w:val="39"/>
        </w:numPr>
        <w:spacing w:line="360" w:lineRule="auto"/>
        <w:jc w:val="both"/>
        <w:rPr>
          <w:rFonts w:cstheme="minorHAnsi"/>
        </w:rPr>
      </w:pPr>
      <w:r w:rsidRPr="00CB337C">
        <w:rPr>
          <w:rFonts w:cstheme="minorHAnsi"/>
        </w:rPr>
        <w:t>More teacher CPD should be available within school time.</w:t>
      </w:r>
    </w:p>
    <w:p w14:paraId="4F2A2136" w14:textId="28AD6857" w:rsidR="00FD5DDB" w:rsidRPr="00CB337C" w:rsidRDefault="00FD5DDB" w:rsidP="00CB337C">
      <w:pPr>
        <w:pStyle w:val="ListParagraph"/>
        <w:numPr>
          <w:ilvl w:val="0"/>
          <w:numId w:val="39"/>
        </w:numPr>
        <w:spacing w:line="360" w:lineRule="auto"/>
        <w:jc w:val="both"/>
        <w:rPr>
          <w:rFonts w:cstheme="minorHAnsi"/>
        </w:rPr>
      </w:pPr>
      <w:r w:rsidRPr="00CB337C">
        <w:rPr>
          <w:rFonts w:cstheme="minorHAnsi"/>
        </w:rPr>
        <w:t>Covid supports to schools should continue.</w:t>
      </w:r>
    </w:p>
    <w:p w14:paraId="1F88A0F5" w14:textId="2373F40F" w:rsidR="00FD5DDB" w:rsidRPr="00CB337C" w:rsidRDefault="00FD5DDB" w:rsidP="00CB337C">
      <w:pPr>
        <w:pStyle w:val="ListParagraph"/>
        <w:numPr>
          <w:ilvl w:val="0"/>
          <w:numId w:val="39"/>
        </w:numPr>
        <w:spacing w:line="360" w:lineRule="auto"/>
        <w:jc w:val="both"/>
        <w:rPr>
          <w:rFonts w:cstheme="minorHAnsi"/>
        </w:rPr>
      </w:pPr>
      <w:r w:rsidRPr="00CB337C">
        <w:rPr>
          <w:rFonts w:cstheme="minorHAnsi"/>
        </w:rPr>
        <w:t xml:space="preserve">There needs to be restoration of the quantum of middle management post which existed a decade ago, </w:t>
      </w:r>
      <w:proofErr w:type="gramStart"/>
      <w:r w:rsidRPr="00CB337C">
        <w:rPr>
          <w:rFonts w:cstheme="minorHAnsi"/>
        </w:rPr>
        <w:t>and also</w:t>
      </w:r>
      <w:proofErr w:type="gramEnd"/>
      <w:r w:rsidRPr="00CB337C">
        <w:rPr>
          <w:rFonts w:cstheme="minorHAnsi"/>
        </w:rPr>
        <w:t xml:space="preserve"> to be adjusted upward to account for the larger number of students in post-primary now.</w:t>
      </w:r>
    </w:p>
    <w:p w14:paraId="2501AABA" w14:textId="77777777" w:rsidR="00C91E2E" w:rsidRPr="00CB337C" w:rsidRDefault="00C91E2E" w:rsidP="00CB337C">
      <w:pPr>
        <w:spacing w:line="360" w:lineRule="auto"/>
        <w:jc w:val="both"/>
        <w:rPr>
          <w:rFonts w:cstheme="minorHAnsi"/>
        </w:rPr>
      </w:pPr>
    </w:p>
    <w:p w14:paraId="21808329" w14:textId="5C3D27E8" w:rsidR="00DF3151" w:rsidRPr="00CB337C" w:rsidRDefault="00DF3151" w:rsidP="00CB337C">
      <w:pPr>
        <w:spacing w:line="360" w:lineRule="auto"/>
        <w:jc w:val="both"/>
        <w:rPr>
          <w:rFonts w:cstheme="minorHAnsi"/>
          <w:b/>
          <w:bCs/>
        </w:rPr>
      </w:pPr>
      <w:r w:rsidRPr="00CB337C">
        <w:rPr>
          <w:rFonts w:cstheme="minorHAnsi"/>
          <w:b/>
          <w:bCs/>
        </w:rPr>
        <w:t xml:space="preserve">Ends </w:t>
      </w:r>
    </w:p>
    <w:p w14:paraId="5A3483F9" w14:textId="77777777" w:rsidR="00DF3151" w:rsidRPr="00CB337C" w:rsidRDefault="00DF3151" w:rsidP="00CB337C">
      <w:pPr>
        <w:spacing w:line="360" w:lineRule="auto"/>
        <w:jc w:val="both"/>
        <w:rPr>
          <w:rFonts w:cstheme="minorHAnsi"/>
          <w:b/>
        </w:rPr>
      </w:pPr>
      <w:r w:rsidRPr="00CB337C">
        <w:rPr>
          <w:rFonts w:cstheme="minorHAnsi"/>
          <w:b/>
        </w:rPr>
        <w:lastRenderedPageBreak/>
        <w:t xml:space="preserve">David Duffy (Education/Research Officer, TUI), </w:t>
      </w:r>
      <w:hyperlink r:id="rId8" w:history="1">
        <w:r w:rsidRPr="00CB337C">
          <w:rPr>
            <w:rFonts w:cstheme="minorHAnsi"/>
            <w:u w:val="single"/>
          </w:rPr>
          <w:t>dduffy@tui.ie</w:t>
        </w:r>
      </w:hyperlink>
      <w:r w:rsidRPr="00CB337C">
        <w:rPr>
          <w:rFonts w:cstheme="minorHAnsi"/>
          <w:b/>
        </w:rPr>
        <w:t>, 01 4922588</w:t>
      </w:r>
    </w:p>
    <w:p w14:paraId="62D65D81" w14:textId="77777777" w:rsidR="001669AD" w:rsidRPr="00CB337C" w:rsidRDefault="001669AD" w:rsidP="00CB337C">
      <w:pPr>
        <w:spacing w:line="360" w:lineRule="auto"/>
        <w:jc w:val="both"/>
        <w:rPr>
          <w:rFonts w:cstheme="minorHAnsi"/>
          <w:b/>
        </w:rPr>
      </w:pPr>
    </w:p>
    <w:p w14:paraId="26796977" w14:textId="77777777" w:rsidR="00C42B24" w:rsidRDefault="00C42B24">
      <w:pPr>
        <w:rPr>
          <w:rFonts w:cstheme="minorHAnsi"/>
          <w:b/>
        </w:rPr>
      </w:pPr>
      <w:r>
        <w:rPr>
          <w:rFonts w:cstheme="minorHAnsi"/>
          <w:b/>
        </w:rPr>
        <w:br w:type="page"/>
      </w:r>
    </w:p>
    <w:p w14:paraId="1CEAA230" w14:textId="1A03FFCF" w:rsidR="00DF3151" w:rsidRPr="00CB337C" w:rsidRDefault="00DF3151" w:rsidP="00CB337C">
      <w:pPr>
        <w:spacing w:line="360" w:lineRule="auto"/>
        <w:jc w:val="both"/>
        <w:rPr>
          <w:rFonts w:cstheme="minorHAnsi"/>
          <w:b/>
        </w:rPr>
      </w:pPr>
      <w:r w:rsidRPr="00CB337C">
        <w:rPr>
          <w:rFonts w:cstheme="minorHAnsi"/>
          <w:b/>
        </w:rPr>
        <w:lastRenderedPageBreak/>
        <w:t>Glossary</w:t>
      </w:r>
    </w:p>
    <w:p w14:paraId="00218B66" w14:textId="77777777" w:rsidR="00B43BCC" w:rsidRPr="00CB337C" w:rsidRDefault="00B43BCC" w:rsidP="00CB337C">
      <w:pPr>
        <w:spacing w:line="360" w:lineRule="auto"/>
        <w:jc w:val="both"/>
        <w:rPr>
          <w:rFonts w:cstheme="minorHAnsi"/>
        </w:rPr>
      </w:pPr>
      <w:r w:rsidRPr="00CB337C">
        <w:rPr>
          <w:rFonts w:cstheme="minorHAnsi"/>
        </w:rPr>
        <w:t>AEN</w:t>
      </w:r>
      <w:r w:rsidRPr="00CB337C">
        <w:rPr>
          <w:rFonts w:cstheme="minorHAnsi"/>
        </w:rPr>
        <w:tab/>
      </w:r>
      <w:r w:rsidRPr="00CB337C">
        <w:rPr>
          <w:rFonts w:cstheme="minorHAnsi"/>
        </w:rPr>
        <w:tab/>
        <w:t>Additional Educational Need</w:t>
      </w:r>
    </w:p>
    <w:p w14:paraId="1FB692EA" w14:textId="09078261" w:rsidR="00DF3151" w:rsidRPr="00CB337C" w:rsidRDefault="0052098E" w:rsidP="00CB337C">
      <w:pPr>
        <w:spacing w:line="360" w:lineRule="auto"/>
        <w:jc w:val="both"/>
        <w:rPr>
          <w:rFonts w:cstheme="minorHAnsi"/>
        </w:rPr>
      </w:pPr>
      <w:r w:rsidRPr="00CB337C">
        <w:rPr>
          <w:rFonts w:cstheme="minorHAnsi"/>
        </w:rPr>
        <w:t>CAO</w:t>
      </w:r>
      <w:r w:rsidRPr="00CB337C">
        <w:rPr>
          <w:rFonts w:cstheme="minorHAnsi"/>
        </w:rPr>
        <w:tab/>
      </w:r>
      <w:r w:rsidRPr="00CB337C">
        <w:rPr>
          <w:rFonts w:cstheme="minorHAnsi"/>
        </w:rPr>
        <w:tab/>
        <w:t>Central Applications Office</w:t>
      </w:r>
    </w:p>
    <w:p w14:paraId="3A2EE470" w14:textId="77777777" w:rsidR="00DF3151" w:rsidRPr="00CB337C" w:rsidRDefault="00DF3151" w:rsidP="00CB337C">
      <w:pPr>
        <w:spacing w:line="360" w:lineRule="auto"/>
        <w:jc w:val="both"/>
        <w:rPr>
          <w:rFonts w:cstheme="minorHAnsi"/>
        </w:rPr>
      </w:pPr>
      <w:r w:rsidRPr="00CB337C">
        <w:rPr>
          <w:rFonts w:cstheme="minorHAnsi"/>
        </w:rPr>
        <w:t>C&amp;C</w:t>
      </w:r>
      <w:r w:rsidRPr="00CB337C">
        <w:rPr>
          <w:rFonts w:cstheme="minorHAnsi"/>
        </w:rPr>
        <w:tab/>
      </w:r>
      <w:r w:rsidRPr="00CB337C">
        <w:rPr>
          <w:rFonts w:cstheme="minorHAnsi"/>
        </w:rPr>
        <w:tab/>
        <w:t>Community and Comprehensive</w:t>
      </w:r>
    </w:p>
    <w:p w14:paraId="1469E8DB" w14:textId="3E16D1C1" w:rsidR="00DA15C0" w:rsidRDefault="00DA15C0" w:rsidP="00CB337C">
      <w:pPr>
        <w:spacing w:line="360" w:lineRule="auto"/>
        <w:jc w:val="both"/>
        <w:rPr>
          <w:rFonts w:cstheme="minorHAnsi"/>
        </w:rPr>
      </w:pPr>
      <w:r>
        <w:rPr>
          <w:rFonts w:cstheme="minorHAnsi"/>
        </w:rPr>
        <w:t>CPD</w:t>
      </w:r>
      <w:r>
        <w:rPr>
          <w:rFonts w:cstheme="minorHAnsi"/>
        </w:rPr>
        <w:tab/>
      </w:r>
      <w:r>
        <w:rPr>
          <w:rFonts w:cstheme="minorHAnsi"/>
        </w:rPr>
        <w:tab/>
        <w:t>Continuing Professional Development</w:t>
      </w:r>
    </w:p>
    <w:p w14:paraId="45331D69" w14:textId="46D5D56F" w:rsidR="001F05DA" w:rsidRPr="00CB337C" w:rsidRDefault="001F05DA" w:rsidP="00CB337C">
      <w:pPr>
        <w:spacing w:line="360" w:lineRule="auto"/>
        <w:jc w:val="both"/>
        <w:rPr>
          <w:rFonts w:cstheme="minorHAnsi"/>
        </w:rPr>
      </w:pPr>
      <w:r w:rsidRPr="00CB337C">
        <w:rPr>
          <w:rFonts w:cstheme="minorHAnsi"/>
        </w:rPr>
        <w:t>CSO</w:t>
      </w:r>
      <w:r w:rsidRPr="00CB337C">
        <w:rPr>
          <w:rFonts w:cstheme="minorHAnsi"/>
        </w:rPr>
        <w:tab/>
      </w:r>
      <w:r w:rsidRPr="00CB337C">
        <w:rPr>
          <w:rFonts w:cstheme="minorHAnsi"/>
        </w:rPr>
        <w:tab/>
        <w:t>Central Statistics Office</w:t>
      </w:r>
    </w:p>
    <w:p w14:paraId="67BEF548" w14:textId="17F5B170" w:rsidR="00DA15C0" w:rsidRDefault="00DA15C0" w:rsidP="00CB337C">
      <w:pPr>
        <w:spacing w:line="360" w:lineRule="auto"/>
        <w:jc w:val="both"/>
        <w:rPr>
          <w:rFonts w:cstheme="minorHAnsi"/>
        </w:rPr>
      </w:pPr>
      <w:r>
        <w:rPr>
          <w:rFonts w:cstheme="minorHAnsi"/>
        </w:rPr>
        <w:t>DCG</w:t>
      </w:r>
      <w:r>
        <w:rPr>
          <w:rFonts w:cstheme="minorHAnsi"/>
        </w:rPr>
        <w:tab/>
      </w:r>
      <w:r>
        <w:rPr>
          <w:rFonts w:cstheme="minorHAnsi"/>
        </w:rPr>
        <w:tab/>
        <w:t>Design and Communications Graphics</w:t>
      </w:r>
    </w:p>
    <w:p w14:paraId="48C43156" w14:textId="1D412897" w:rsidR="001F05DA" w:rsidRPr="00CB337C" w:rsidRDefault="001F05DA" w:rsidP="00CB337C">
      <w:pPr>
        <w:spacing w:line="360" w:lineRule="auto"/>
        <w:jc w:val="both"/>
        <w:rPr>
          <w:rFonts w:cstheme="minorHAnsi"/>
        </w:rPr>
      </w:pPr>
      <w:r w:rsidRPr="00CB337C">
        <w:rPr>
          <w:rFonts w:cstheme="minorHAnsi"/>
        </w:rPr>
        <w:t>DCYA</w:t>
      </w:r>
      <w:r w:rsidRPr="00CB337C">
        <w:rPr>
          <w:rFonts w:cstheme="minorHAnsi"/>
        </w:rPr>
        <w:tab/>
      </w:r>
      <w:r w:rsidRPr="00CB337C">
        <w:rPr>
          <w:rFonts w:cstheme="minorHAnsi"/>
        </w:rPr>
        <w:tab/>
        <w:t>Department of Children and Youth Affairs</w:t>
      </w:r>
      <w:r w:rsidRPr="00CB337C">
        <w:rPr>
          <w:rFonts w:cstheme="minorHAnsi"/>
        </w:rPr>
        <w:tab/>
        <w:t>(Now DCEDIYA)</w:t>
      </w:r>
    </w:p>
    <w:p w14:paraId="5743C76A" w14:textId="4D26136E" w:rsidR="001F05DA" w:rsidRPr="00CB337C" w:rsidRDefault="001F05DA" w:rsidP="00CB337C">
      <w:pPr>
        <w:spacing w:line="360" w:lineRule="auto"/>
        <w:jc w:val="both"/>
        <w:rPr>
          <w:rFonts w:cstheme="minorHAnsi"/>
        </w:rPr>
      </w:pPr>
      <w:r w:rsidRPr="00CB337C">
        <w:rPr>
          <w:rFonts w:cstheme="minorHAnsi"/>
        </w:rPr>
        <w:t>DE</w:t>
      </w:r>
      <w:r w:rsidRPr="00CB337C">
        <w:rPr>
          <w:rFonts w:cstheme="minorHAnsi"/>
        </w:rPr>
        <w:tab/>
      </w:r>
      <w:r w:rsidRPr="00CB337C">
        <w:rPr>
          <w:rFonts w:cstheme="minorHAnsi"/>
        </w:rPr>
        <w:tab/>
        <w:t>Department of Education</w:t>
      </w:r>
    </w:p>
    <w:p w14:paraId="42FD1033" w14:textId="58F06743" w:rsidR="001F05DA" w:rsidRPr="00CB337C" w:rsidRDefault="001F05DA" w:rsidP="00CB337C">
      <w:pPr>
        <w:spacing w:line="360" w:lineRule="auto"/>
        <w:jc w:val="both"/>
        <w:rPr>
          <w:rFonts w:cstheme="minorHAnsi"/>
        </w:rPr>
      </w:pPr>
      <w:r w:rsidRPr="00CB337C">
        <w:rPr>
          <w:rFonts w:cstheme="minorHAnsi"/>
        </w:rPr>
        <w:t>DEIS</w:t>
      </w:r>
      <w:r w:rsidRPr="00CB337C">
        <w:rPr>
          <w:rFonts w:cstheme="minorHAnsi"/>
        </w:rPr>
        <w:tab/>
      </w:r>
      <w:r w:rsidRPr="00CB337C">
        <w:rPr>
          <w:rFonts w:cstheme="minorHAnsi"/>
        </w:rPr>
        <w:tab/>
        <w:t>Delivering Equality of Opportunity in Schools</w:t>
      </w:r>
    </w:p>
    <w:p w14:paraId="33FE76D4" w14:textId="249353A8" w:rsidR="00DF3151" w:rsidRPr="00CB337C" w:rsidRDefault="00DF3151" w:rsidP="00CB337C">
      <w:pPr>
        <w:spacing w:line="360" w:lineRule="auto"/>
        <w:jc w:val="both"/>
        <w:rPr>
          <w:rFonts w:cstheme="minorHAnsi"/>
        </w:rPr>
      </w:pPr>
      <w:r w:rsidRPr="00CB337C">
        <w:rPr>
          <w:rFonts w:cstheme="minorHAnsi"/>
        </w:rPr>
        <w:t>DES</w:t>
      </w:r>
      <w:r w:rsidRPr="00CB337C">
        <w:rPr>
          <w:rFonts w:cstheme="minorHAnsi"/>
        </w:rPr>
        <w:tab/>
      </w:r>
      <w:r w:rsidRPr="00CB337C">
        <w:rPr>
          <w:rFonts w:cstheme="minorHAnsi"/>
        </w:rPr>
        <w:tab/>
        <w:t>Department of Education and Skills</w:t>
      </w:r>
      <w:r w:rsidR="001F05DA" w:rsidRPr="00CB337C">
        <w:rPr>
          <w:rFonts w:cstheme="minorHAnsi"/>
        </w:rPr>
        <w:tab/>
      </w:r>
      <w:r w:rsidR="001F05DA" w:rsidRPr="00CB337C">
        <w:rPr>
          <w:rFonts w:cstheme="minorHAnsi"/>
        </w:rPr>
        <w:tab/>
        <w:t>(Now DE)</w:t>
      </w:r>
    </w:p>
    <w:p w14:paraId="47D516C0" w14:textId="49657025" w:rsidR="0052098E" w:rsidRPr="00CB337C" w:rsidRDefault="0052098E" w:rsidP="00CB337C">
      <w:pPr>
        <w:spacing w:line="360" w:lineRule="auto"/>
        <w:jc w:val="both"/>
        <w:rPr>
          <w:rFonts w:cstheme="minorHAnsi"/>
        </w:rPr>
      </w:pPr>
      <w:r w:rsidRPr="00CB337C">
        <w:rPr>
          <w:rFonts w:cstheme="minorHAnsi"/>
        </w:rPr>
        <w:t>DFHERIS</w:t>
      </w:r>
      <w:r w:rsidRPr="00CB337C">
        <w:rPr>
          <w:rFonts w:cstheme="minorHAnsi"/>
        </w:rPr>
        <w:tab/>
        <w:t>Department of Further and Higher Education, Research, Innovation and Science</w:t>
      </w:r>
    </w:p>
    <w:p w14:paraId="422E6A01" w14:textId="5B46D7E3" w:rsidR="0071478C" w:rsidRPr="00CB337C" w:rsidRDefault="0071478C" w:rsidP="00CB337C">
      <w:pPr>
        <w:spacing w:line="360" w:lineRule="auto"/>
        <w:jc w:val="both"/>
        <w:rPr>
          <w:rFonts w:cstheme="minorHAnsi"/>
        </w:rPr>
      </w:pPr>
      <w:r w:rsidRPr="00CB337C">
        <w:rPr>
          <w:rFonts w:cstheme="minorHAnsi"/>
        </w:rPr>
        <w:t>ERTL</w:t>
      </w:r>
      <w:r w:rsidRPr="00CB337C">
        <w:rPr>
          <w:rFonts w:cstheme="minorHAnsi"/>
        </w:rPr>
        <w:tab/>
      </w:r>
      <w:r w:rsidRPr="00CB337C">
        <w:rPr>
          <w:rFonts w:cstheme="minorHAnsi"/>
        </w:rPr>
        <w:tab/>
        <w:t>Emergency Remote Teaching and Learning</w:t>
      </w:r>
    </w:p>
    <w:p w14:paraId="68CC83B9" w14:textId="345F2C2C" w:rsidR="001F05DA" w:rsidRPr="00CB337C" w:rsidRDefault="001F05DA" w:rsidP="00CB337C">
      <w:pPr>
        <w:spacing w:line="360" w:lineRule="auto"/>
        <w:jc w:val="both"/>
        <w:rPr>
          <w:rFonts w:cstheme="minorHAnsi"/>
        </w:rPr>
      </w:pPr>
      <w:r w:rsidRPr="00CB337C">
        <w:rPr>
          <w:rFonts w:cstheme="minorHAnsi"/>
        </w:rPr>
        <w:t>ESRI</w:t>
      </w:r>
      <w:r w:rsidRPr="00CB337C">
        <w:rPr>
          <w:rFonts w:cstheme="minorHAnsi"/>
        </w:rPr>
        <w:tab/>
      </w:r>
      <w:r w:rsidRPr="00CB337C">
        <w:rPr>
          <w:rFonts w:cstheme="minorHAnsi"/>
        </w:rPr>
        <w:tab/>
        <w:t>Economic and Social Research Institute</w:t>
      </w:r>
    </w:p>
    <w:p w14:paraId="4BA6C163" w14:textId="32A115C2" w:rsidR="00DF3151" w:rsidRPr="00CB337C" w:rsidRDefault="00DF3151" w:rsidP="00CB337C">
      <w:pPr>
        <w:spacing w:line="360" w:lineRule="auto"/>
        <w:jc w:val="both"/>
        <w:rPr>
          <w:rFonts w:cstheme="minorHAnsi"/>
        </w:rPr>
      </w:pPr>
      <w:r w:rsidRPr="00CB337C">
        <w:rPr>
          <w:rFonts w:cstheme="minorHAnsi"/>
        </w:rPr>
        <w:t>ETB</w:t>
      </w:r>
      <w:r w:rsidRPr="00CB337C">
        <w:rPr>
          <w:rFonts w:cstheme="minorHAnsi"/>
        </w:rPr>
        <w:tab/>
      </w:r>
      <w:r w:rsidRPr="00CB337C">
        <w:rPr>
          <w:rFonts w:cstheme="minorHAnsi"/>
        </w:rPr>
        <w:tab/>
        <w:t>Education and Training Board</w:t>
      </w:r>
    </w:p>
    <w:p w14:paraId="14704C0D" w14:textId="77777777" w:rsidR="00DF3151" w:rsidRPr="00CB337C" w:rsidRDefault="00DF3151" w:rsidP="00CB337C">
      <w:pPr>
        <w:spacing w:line="360" w:lineRule="auto"/>
        <w:jc w:val="both"/>
        <w:rPr>
          <w:rFonts w:cstheme="minorHAnsi"/>
        </w:rPr>
      </w:pPr>
      <w:r w:rsidRPr="00CB337C">
        <w:rPr>
          <w:rFonts w:cstheme="minorHAnsi"/>
        </w:rPr>
        <w:t>EU</w:t>
      </w:r>
      <w:r w:rsidRPr="00CB337C">
        <w:rPr>
          <w:rFonts w:cstheme="minorHAnsi"/>
        </w:rPr>
        <w:tab/>
      </w:r>
      <w:r w:rsidRPr="00CB337C">
        <w:rPr>
          <w:rFonts w:cstheme="minorHAnsi"/>
        </w:rPr>
        <w:tab/>
        <w:t>European Union</w:t>
      </w:r>
    </w:p>
    <w:p w14:paraId="41DF4D09" w14:textId="0AC47049" w:rsidR="00C91E2E" w:rsidRPr="00CB337C" w:rsidRDefault="00C91E2E" w:rsidP="00CB337C">
      <w:pPr>
        <w:spacing w:line="360" w:lineRule="auto"/>
        <w:jc w:val="both"/>
        <w:rPr>
          <w:rFonts w:cstheme="minorHAnsi"/>
        </w:rPr>
      </w:pPr>
      <w:r w:rsidRPr="00CB337C">
        <w:rPr>
          <w:rFonts w:cstheme="minorHAnsi"/>
        </w:rPr>
        <w:t>FE</w:t>
      </w:r>
      <w:r w:rsidR="00DA15C0">
        <w:rPr>
          <w:rFonts w:cstheme="minorHAnsi"/>
        </w:rPr>
        <w:t>T</w:t>
      </w:r>
      <w:r w:rsidRPr="00CB337C">
        <w:rPr>
          <w:rFonts w:cstheme="minorHAnsi"/>
        </w:rPr>
        <w:tab/>
      </w:r>
      <w:r w:rsidRPr="00CB337C">
        <w:rPr>
          <w:rFonts w:cstheme="minorHAnsi"/>
        </w:rPr>
        <w:tab/>
        <w:t>Further Education</w:t>
      </w:r>
      <w:r w:rsidR="00DA15C0">
        <w:rPr>
          <w:rFonts w:cstheme="minorHAnsi"/>
        </w:rPr>
        <w:t xml:space="preserve"> and Training</w:t>
      </w:r>
    </w:p>
    <w:p w14:paraId="0B9F9355" w14:textId="59DD2C4B" w:rsidR="0052098E" w:rsidRPr="00CB337C" w:rsidRDefault="0052098E" w:rsidP="00CB337C">
      <w:pPr>
        <w:spacing w:line="360" w:lineRule="auto"/>
        <w:jc w:val="both"/>
        <w:rPr>
          <w:rFonts w:cstheme="minorHAnsi"/>
        </w:rPr>
      </w:pPr>
      <w:r w:rsidRPr="00CB337C">
        <w:rPr>
          <w:rFonts w:cstheme="minorHAnsi"/>
        </w:rPr>
        <w:t>GDP</w:t>
      </w:r>
      <w:r w:rsidRPr="00CB337C">
        <w:rPr>
          <w:rFonts w:cstheme="minorHAnsi"/>
        </w:rPr>
        <w:tab/>
      </w:r>
      <w:r w:rsidRPr="00CB337C">
        <w:rPr>
          <w:rFonts w:cstheme="minorHAnsi"/>
        </w:rPr>
        <w:tab/>
        <w:t>Gross Domestic Product</w:t>
      </w:r>
    </w:p>
    <w:p w14:paraId="46596E7E" w14:textId="1028E32B" w:rsidR="00C91E2E" w:rsidRPr="00CB337C" w:rsidRDefault="00C91E2E" w:rsidP="00CB337C">
      <w:pPr>
        <w:spacing w:line="360" w:lineRule="auto"/>
        <w:jc w:val="both"/>
        <w:rPr>
          <w:rFonts w:cstheme="minorHAnsi"/>
        </w:rPr>
      </w:pPr>
      <w:r w:rsidRPr="00CB337C">
        <w:rPr>
          <w:rFonts w:cstheme="minorHAnsi"/>
        </w:rPr>
        <w:t>HE</w:t>
      </w:r>
      <w:r w:rsidRPr="00CB337C">
        <w:rPr>
          <w:rFonts w:cstheme="minorHAnsi"/>
        </w:rPr>
        <w:tab/>
      </w:r>
      <w:r w:rsidRPr="00CB337C">
        <w:rPr>
          <w:rFonts w:cstheme="minorHAnsi"/>
        </w:rPr>
        <w:tab/>
        <w:t>Higher Education</w:t>
      </w:r>
    </w:p>
    <w:p w14:paraId="433A8E7F" w14:textId="367F2273" w:rsidR="00DF3151" w:rsidRPr="00CB337C" w:rsidRDefault="00DF3151" w:rsidP="00CB337C">
      <w:pPr>
        <w:spacing w:line="360" w:lineRule="auto"/>
        <w:jc w:val="both"/>
        <w:rPr>
          <w:rFonts w:cstheme="minorHAnsi"/>
        </w:rPr>
      </w:pPr>
      <w:r w:rsidRPr="00CB337C">
        <w:rPr>
          <w:rFonts w:cstheme="minorHAnsi"/>
        </w:rPr>
        <w:t>HEA</w:t>
      </w:r>
      <w:r w:rsidRPr="00CB337C">
        <w:rPr>
          <w:rFonts w:cstheme="minorHAnsi"/>
        </w:rPr>
        <w:tab/>
      </w:r>
      <w:r w:rsidRPr="00CB337C">
        <w:rPr>
          <w:rFonts w:cstheme="minorHAnsi"/>
        </w:rPr>
        <w:tab/>
        <w:t>Higher Education Authority</w:t>
      </w:r>
    </w:p>
    <w:p w14:paraId="7EABE5E4" w14:textId="339A70A7" w:rsidR="004F0CBB" w:rsidRPr="00CB337C" w:rsidRDefault="004F0CBB" w:rsidP="00CB337C">
      <w:pPr>
        <w:spacing w:line="360" w:lineRule="auto"/>
        <w:jc w:val="both"/>
        <w:rPr>
          <w:rFonts w:cstheme="minorHAnsi"/>
        </w:rPr>
      </w:pPr>
      <w:r w:rsidRPr="00CB337C">
        <w:rPr>
          <w:rFonts w:cstheme="minorHAnsi"/>
        </w:rPr>
        <w:t>ICT</w:t>
      </w:r>
      <w:r w:rsidRPr="00CB337C">
        <w:rPr>
          <w:rFonts w:cstheme="minorHAnsi"/>
        </w:rPr>
        <w:tab/>
      </w:r>
      <w:r w:rsidRPr="00CB337C">
        <w:rPr>
          <w:rFonts w:cstheme="minorHAnsi"/>
        </w:rPr>
        <w:tab/>
        <w:t>Information and Communications Technology</w:t>
      </w:r>
    </w:p>
    <w:p w14:paraId="6F0A69DB" w14:textId="3FC83527" w:rsidR="00C91E2E" w:rsidRPr="00CB337C" w:rsidRDefault="00C91E2E" w:rsidP="00CB337C">
      <w:pPr>
        <w:spacing w:line="360" w:lineRule="auto"/>
        <w:jc w:val="both"/>
        <w:rPr>
          <w:rFonts w:cstheme="minorHAnsi"/>
        </w:rPr>
      </w:pPr>
      <w:r w:rsidRPr="00CB337C">
        <w:rPr>
          <w:rFonts w:cstheme="minorHAnsi"/>
        </w:rPr>
        <w:t>IoT</w:t>
      </w:r>
      <w:r w:rsidRPr="00CB337C">
        <w:rPr>
          <w:rFonts w:cstheme="minorHAnsi"/>
        </w:rPr>
        <w:tab/>
      </w:r>
      <w:r w:rsidRPr="00CB337C">
        <w:rPr>
          <w:rFonts w:cstheme="minorHAnsi"/>
        </w:rPr>
        <w:tab/>
        <w:t>Institute of Technology</w:t>
      </w:r>
    </w:p>
    <w:p w14:paraId="1964010F" w14:textId="3F22B4DB" w:rsidR="00425AD7" w:rsidRPr="00CB337C" w:rsidRDefault="00425AD7" w:rsidP="00CB337C">
      <w:pPr>
        <w:spacing w:line="360" w:lineRule="auto"/>
        <w:jc w:val="both"/>
        <w:rPr>
          <w:rFonts w:cstheme="minorHAnsi"/>
        </w:rPr>
      </w:pPr>
      <w:r w:rsidRPr="00CB337C">
        <w:rPr>
          <w:rFonts w:cstheme="minorHAnsi"/>
        </w:rPr>
        <w:t>LCA</w:t>
      </w:r>
      <w:r w:rsidRPr="00CB337C">
        <w:rPr>
          <w:rFonts w:cstheme="minorHAnsi"/>
        </w:rPr>
        <w:tab/>
      </w:r>
      <w:r w:rsidRPr="00CB337C">
        <w:rPr>
          <w:rFonts w:cstheme="minorHAnsi"/>
        </w:rPr>
        <w:tab/>
        <w:t>Leaving Certificate Applied</w:t>
      </w:r>
    </w:p>
    <w:p w14:paraId="52948454" w14:textId="26A55991" w:rsidR="00425AD7" w:rsidRPr="00CB337C" w:rsidRDefault="00425AD7" w:rsidP="00CB337C">
      <w:pPr>
        <w:spacing w:line="360" w:lineRule="auto"/>
        <w:jc w:val="both"/>
        <w:rPr>
          <w:rFonts w:cstheme="minorHAnsi"/>
        </w:rPr>
      </w:pPr>
      <w:r w:rsidRPr="00CB337C">
        <w:rPr>
          <w:rFonts w:cstheme="minorHAnsi"/>
        </w:rPr>
        <w:t>LCVP</w:t>
      </w:r>
      <w:r w:rsidRPr="00CB337C">
        <w:rPr>
          <w:rFonts w:cstheme="minorHAnsi"/>
        </w:rPr>
        <w:tab/>
      </w:r>
      <w:r w:rsidRPr="00CB337C">
        <w:rPr>
          <w:rFonts w:cstheme="minorHAnsi"/>
        </w:rPr>
        <w:tab/>
        <w:t>Leaving Certificate Vocational Programme</w:t>
      </w:r>
    </w:p>
    <w:p w14:paraId="6BE9D99C" w14:textId="532521F5" w:rsidR="00DF3151" w:rsidRPr="00CB337C" w:rsidRDefault="00DF3151" w:rsidP="00CB337C">
      <w:pPr>
        <w:spacing w:line="360" w:lineRule="auto"/>
        <w:jc w:val="both"/>
        <w:rPr>
          <w:rFonts w:cstheme="minorHAnsi"/>
        </w:rPr>
      </w:pPr>
      <w:r w:rsidRPr="00CB337C">
        <w:rPr>
          <w:rFonts w:cstheme="minorHAnsi"/>
        </w:rPr>
        <w:t>NAPD</w:t>
      </w:r>
      <w:r w:rsidRPr="00CB337C">
        <w:rPr>
          <w:rFonts w:cstheme="minorHAnsi"/>
        </w:rPr>
        <w:tab/>
      </w:r>
      <w:r w:rsidRPr="00CB337C">
        <w:rPr>
          <w:rFonts w:cstheme="minorHAnsi"/>
        </w:rPr>
        <w:tab/>
        <w:t>National Association of Principals and Deputy Principals</w:t>
      </w:r>
    </w:p>
    <w:p w14:paraId="6F53A880" w14:textId="77777777" w:rsidR="0029002D" w:rsidRPr="00CB337C" w:rsidRDefault="0029002D" w:rsidP="00CB337C">
      <w:pPr>
        <w:spacing w:line="360" w:lineRule="auto"/>
        <w:jc w:val="both"/>
        <w:rPr>
          <w:rFonts w:cstheme="minorHAnsi"/>
        </w:rPr>
      </w:pPr>
      <w:r w:rsidRPr="00CB337C">
        <w:rPr>
          <w:rFonts w:cstheme="minorHAnsi"/>
        </w:rPr>
        <w:lastRenderedPageBreak/>
        <w:t>NCCA</w:t>
      </w:r>
      <w:r w:rsidRPr="00CB337C">
        <w:rPr>
          <w:rFonts w:cstheme="minorHAnsi"/>
        </w:rPr>
        <w:tab/>
      </w:r>
      <w:r w:rsidRPr="00CB337C">
        <w:rPr>
          <w:rFonts w:cstheme="minorHAnsi"/>
        </w:rPr>
        <w:tab/>
        <w:t>National Council for Curriculum and Assessment</w:t>
      </w:r>
    </w:p>
    <w:p w14:paraId="11B566AA" w14:textId="779A2393" w:rsidR="00DF3151" w:rsidRPr="00CB337C" w:rsidRDefault="00DF3151" w:rsidP="00CB337C">
      <w:pPr>
        <w:spacing w:line="360" w:lineRule="auto"/>
        <w:jc w:val="both"/>
        <w:rPr>
          <w:rFonts w:cstheme="minorHAnsi"/>
        </w:rPr>
      </w:pPr>
      <w:r w:rsidRPr="00CB337C">
        <w:rPr>
          <w:rFonts w:cstheme="minorHAnsi"/>
        </w:rPr>
        <w:t>NERI</w:t>
      </w:r>
      <w:r w:rsidRPr="00CB337C">
        <w:rPr>
          <w:rFonts w:cstheme="minorHAnsi"/>
        </w:rPr>
        <w:tab/>
      </w:r>
      <w:r w:rsidRPr="00CB337C">
        <w:rPr>
          <w:rFonts w:cstheme="minorHAnsi"/>
        </w:rPr>
        <w:tab/>
        <w:t>Nevin Economic Research Institute</w:t>
      </w:r>
    </w:p>
    <w:p w14:paraId="1EA8C0F2" w14:textId="4AFEC374" w:rsidR="00C91E2E" w:rsidRPr="00CB337C" w:rsidRDefault="00C91E2E" w:rsidP="00CB337C">
      <w:pPr>
        <w:spacing w:line="360" w:lineRule="auto"/>
        <w:jc w:val="both"/>
        <w:rPr>
          <w:rFonts w:cstheme="minorHAnsi"/>
        </w:rPr>
      </w:pPr>
      <w:r w:rsidRPr="00CB337C">
        <w:rPr>
          <w:rFonts w:cstheme="minorHAnsi"/>
        </w:rPr>
        <w:t>NFQ</w:t>
      </w:r>
      <w:r w:rsidRPr="00CB337C">
        <w:rPr>
          <w:rFonts w:cstheme="minorHAnsi"/>
        </w:rPr>
        <w:tab/>
      </w:r>
      <w:r w:rsidRPr="00CB337C">
        <w:rPr>
          <w:rFonts w:cstheme="minorHAnsi"/>
        </w:rPr>
        <w:tab/>
        <w:t>National Framework of Qualifications</w:t>
      </w:r>
    </w:p>
    <w:p w14:paraId="14203326" w14:textId="77777777" w:rsidR="00DF3151" w:rsidRPr="00CB337C" w:rsidRDefault="00DF3151" w:rsidP="00CB337C">
      <w:pPr>
        <w:spacing w:line="360" w:lineRule="auto"/>
        <w:jc w:val="both"/>
        <w:rPr>
          <w:rFonts w:cstheme="minorHAnsi"/>
        </w:rPr>
      </w:pPr>
      <w:r w:rsidRPr="00CB337C">
        <w:rPr>
          <w:rFonts w:cstheme="minorHAnsi"/>
        </w:rPr>
        <w:t>OECD</w:t>
      </w:r>
      <w:r w:rsidRPr="00CB337C">
        <w:rPr>
          <w:rFonts w:cstheme="minorHAnsi"/>
        </w:rPr>
        <w:tab/>
      </w:r>
      <w:r w:rsidRPr="00CB337C">
        <w:rPr>
          <w:rFonts w:cstheme="minorHAnsi"/>
        </w:rPr>
        <w:tab/>
        <w:t>Organisation for Economic Co-operation and Development</w:t>
      </w:r>
    </w:p>
    <w:p w14:paraId="2C1A06E6" w14:textId="2B4F5C41" w:rsidR="00DA15C0" w:rsidRDefault="00DA15C0" w:rsidP="00CB337C">
      <w:pPr>
        <w:spacing w:line="360" w:lineRule="auto"/>
        <w:jc w:val="both"/>
        <w:rPr>
          <w:rFonts w:cstheme="minorHAnsi"/>
        </w:rPr>
      </w:pPr>
      <w:r>
        <w:rPr>
          <w:rFonts w:cstheme="minorHAnsi"/>
        </w:rPr>
        <w:t>SEC</w:t>
      </w:r>
      <w:r>
        <w:rPr>
          <w:rFonts w:cstheme="minorHAnsi"/>
        </w:rPr>
        <w:tab/>
      </w:r>
      <w:r>
        <w:rPr>
          <w:rFonts w:cstheme="minorHAnsi"/>
        </w:rPr>
        <w:tab/>
        <w:t>State Examinations Commission</w:t>
      </w:r>
    </w:p>
    <w:p w14:paraId="4E0E48BA" w14:textId="05B5D787" w:rsidR="00B43BCC" w:rsidRPr="00CB337C" w:rsidRDefault="00B43BCC" w:rsidP="00CB337C">
      <w:pPr>
        <w:spacing w:line="360" w:lineRule="auto"/>
        <w:jc w:val="both"/>
        <w:rPr>
          <w:rFonts w:cstheme="minorHAnsi"/>
        </w:rPr>
      </w:pPr>
      <w:r w:rsidRPr="00CB337C">
        <w:rPr>
          <w:rFonts w:cstheme="minorHAnsi"/>
        </w:rPr>
        <w:t>SEN</w:t>
      </w:r>
      <w:r w:rsidRPr="00CB337C">
        <w:rPr>
          <w:rFonts w:cstheme="minorHAnsi"/>
        </w:rPr>
        <w:tab/>
      </w:r>
      <w:r w:rsidRPr="00CB337C">
        <w:rPr>
          <w:rFonts w:cstheme="minorHAnsi"/>
        </w:rPr>
        <w:tab/>
        <w:t>Special Educational Need</w:t>
      </w:r>
    </w:p>
    <w:p w14:paraId="101B2129" w14:textId="798713C4" w:rsidR="00DF3151" w:rsidRPr="00CB337C" w:rsidRDefault="00DF3151" w:rsidP="00CB337C">
      <w:pPr>
        <w:spacing w:line="360" w:lineRule="auto"/>
        <w:jc w:val="both"/>
        <w:rPr>
          <w:rFonts w:cstheme="minorHAnsi"/>
        </w:rPr>
      </w:pPr>
      <w:r w:rsidRPr="00CB337C">
        <w:rPr>
          <w:rFonts w:cstheme="minorHAnsi"/>
        </w:rPr>
        <w:t>SJI</w:t>
      </w:r>
      <w:r w:rsidRPr="00CB337C">
        <w:rPr>
          <w:rFonts w:cstheme="minorHAnsi"/>
        </w:rPr>
        <w:tab/>
      </w:r>
      <w:r w:rsidRPr="00CB337C">
        <w:rPr>
          <w:rFonts w:cstheme="minorHAnsi"/>
        </w:rPr>
        <w:tab/>
        <w:t>Social Justice Ireland</w:t>
      </w:r>
    </w:p>
    <w:p w14:paraId="6FB6231D" w14:textId="77777777" w:rsidR="00DA15C0" w:rsidRDefault="00DA15C0" w:rsidP="00CB337C">
      <w:pPr>
        <w:spacing w:line="360" w:lineRule="auto"/>
        <w:jc w:val="both"/>
        <w:rPr>
          <w:rFonts w:cstheme="minorHAnsi"/>
        </w:rPr>
      </w:pPr>
      <w:r>
        <w:rPr>
          <w:rFonts w:cstheme="minorHAnsi"/>
        </w:rPr>
        <w:t>STEM</w:t>
      </w:r>
      <w:r>
        <w:rPr>
          <w:rFonts w:cstheme="minorHAnsi"/>
        </w:rPr>
        <w:tab/>
      </w:r>
      <w:r>
        <w:rPr>
          <w:rFonts w:cstheme="minorHAnsi"/>
        </w:rPr>
        <w:tab/>
        <w:t>Science, Technology, Engineering and Maths</w:t>
      </w:r>
    </w:p>
    <w:p w14:paraId="3C9148DC" w14:textId="4551D71C" w:rsidR="00C91E2E" w:rsidRPr="00CB337C" w:rsidRDefault="00C91E2E" w:rsidP="00CB337C">
      <w:pPr>
        <w:spacing w:line="360" w:lineRule="auto"/>
        <w:jc w:val="both"/>
        <w:rPr>
          <w:rFonts w:cstheme="minorHAnsi"/>
        </w:rPr>
      </w:pPr>
      <w:r w:rsidRPr="00CB337C">
        <w:rPr>
          <w:rFonts w:cstheme="minorHAnsi"/>
        </w:rPr>
        <w:t>TU</w:t>
      </w:r>
      <w:r w:rsidRPr="00CB337C">
        <w:rPr>
          <w:rFonts w:cstheme="minorHAnsi"/>
        </w:rPr>
        <w:tab/>
      </w:r>
      <w:r w:rsidRPr="00CB337C">
        <w:rPr>
          <w:rFonts w:cstheme="minorHAnsi"/>
        </w:rPr>
        <w:tab/>
        <w:t>Technological University</w:t>
      </w:r>
    </w:p>
    <w:p w14:paraId="15B93E62" w14:textId="4135808C" w:rsidR="00DF3151" w:rsidRPr="00CB337C" w:rsidRDefault="00DF3151" w:rsidP="00CB337C">
      <w:pPr>
        <w:spacing w:line="360" w:lineRule="auto"/>
        <w:jc w:val="both"/>
        <w:rPr>
          <w:rFonts w:cstheme="minorHAnsi"/>
        </w:rPr>
      </w:pPr>
      <w:r w:rsidRPr="00CB337C">
        <w:rPr>
          <w:rFonts w:cstheme="minorHAnsi"/>
        </w:rPr>
        <w:t>TUI</w:t>
      </w:r>
      <w:r w:rsidRPr="00CB337C">
        <w:rPr>
          <w:rFonts w:cstheme="minorHAnsi"/>
        </w:rPr>
        <w:tab/>
      </w:r>
      <w:r w:rsidRPr="00CB337C">
        <w:rPr>
          <w:rFonts w:cstheme="minorHAnsi"/>
        </w:rPr>
        <w:tab/>
        <w:t>Teachers’ Union of Ireland</w:t>
      </w:r>
    </w:p>
    <w:p w14:paraId="6A665339" w14:textId="7E801CBE" w:rsidR="001F05DA" w:rsidRPr="00CB337C" w:rsidRDefault="001F05DA" w:rsidP="00CB337C">
      <w:pPr>
        <w:spacing w:line="360" w:lineRule="auto"/>
        <w:jc w:val="both"/>
        <w:rPr>
          <w:rFonts w:cstheme="minorHAnsi"/>
        </w:rPr>
      </w:pPr>
      <w:r w:rsidRPr="00CB337C">
        <w:rPr>
          <w:rFonts w:cstheme="minorHAnsi"/>
        </w:rPr>
        <w:t>UNDP</w:t>
      </w:r>
      <w:r w:rsidRPr="00CB337C">
        <w:rPr>
          <w:rFonts w:cstheme="minorHAnsi"/>
        </w:rPr>
        <w:tab/>
      </w:r>
      <w:r w:rsidRPr="00CB337C">
        <w:rPr>
          <w:rFonts w:cstheme="minorHAnsi"/>
        </w:rPr>
        <w:tab/>
        <w:t>United Nations Development Programme</w:t>
      </w:r>
    </w:p>
    <w:p w14:paraId="7E9AF463" w14:textId="43F8570C" w:rsidR="00DF3151" w:rsidRPr="00CB337C" w:rsidRDefault="00DF3151" w:rsidP="00CB337C">
      <w:pPr>
        <w:spacing w:line="360" w:lineRule="auto"/>
        <w:jc w:val="both"/>
        <w:rPr>
          <w:rFonts w:cstheme="minorHAnsi"/>
        </w:rPr>
      </w:pPr>
      <w:r w:rsidRPr="00CB337C">
        <w:rPr>
          <w:rFonts w:cstheme="minorHAnsi"/>
        </w:rPr>
        <w:br w:type="page"/>
      </w:r>
    </w:p>
    <w:p w14:paraId="199E8269" w14:textId="77777777" w:rsidR="00DF3151" w:rsidRPr="00CB337C" w:rsidRDefault="00DF3151" w:rsidP="00CB337C">
      <w:pPr>
        <w:spacing w:line="360" w:lineRule="auto"/>
        <w:jc w:val="both"/>
        <w:rPr>
          <w:rFonts w:cstheme="minorHAnsi"/>
          <w:b/>
        </w:rPr>
      </w:pPr>
      <w:r w:rsidRPr="00CB337C">
        <w:rPr>
          <w:rFonts w:cstheme="minorHAnsi"/>
          <w:b/>
        </w:rPr>
        <w:lastRenderedPageBreak/>
        <w:t>References</w:t>
      </w:r>
    </w:p>
    <w:p w14:paraId="52CD977A" w14:textId="77777777" w:rsidR="00DF3151" w:rsidRPr="00CB337C" w:rsidRDefault="00DF3151" w:rsidP="00CB337C">
      <w:pPr>
        <w:autoSpaceDE w:val="0"/>
        <w:autoSpaceDN w:val="0"/>
        <w:adjustRightInd w:val="0"/>
        <w:spacing w:after="0" w:line="360" w:lineRule="auto"/>
        <w:jc w:val="both"/>
        <w:rPr>
          <w:rFonts w:cstheme="minorHAnsi"/>
        </w:rPr>
      </w:pPr>
      <w:r w:rsidRPr="00CB337C">
        <w:rPr>
          <w:rFonts w:cstheme="minorHAnsi"/>
        </w:rPr>
        <w:t xml:space="preserve">Boyle (2017), </w:t>
      </w:r>
      <w:r w:rsidRPr="00CB337C">
        <w:rPr>
          <w:rFonts w:cstheme="minorHAnsi"/>
          <w:i/>
        </w:rPr>
        <w:t>Public Sector Trends 2017</w:t>
      </w:r>
      <w:r w:rsidRPr="00CB337C">
        <w:rPr>
          <w:rFonts w:cstheme="minorHAnsi"/>
        </w:rPr>
        <w:t>, Dublin: Institute of Public Administration</w:t>
      </w:r>
    </w:p>
    <w:p w14:paraId="343916A3" w14:textId="77777777" w:rsidR="00DF3151" w:rsidRPr="00CB337C" w:rsidRDefault="00DF3151" w:rsidP="00CB337C">
      <w:pPr>
        <w:autoSpaceDE w:val="0"/>
        <w:autoSpaceDN w:val="0"/>
        <w:adjustRightInd w:val="0"/>
        <w:spacing w:after="0" w:line="360" w:lineRule="auto"/>
        <w:jc w:val="both"/>
        <w:rPr>
          <w:rFonts w:cstheme="minorHAnsi"/>
        </w:rPr>
      </w:pPr>
      <w:r w:rsidRPr="00CB337C">
        <w:rPr>
          <w:rFonts w:cstheme="minorHAnsi"/>
        </w:rPr>
        <w:t xml:space="preserve">Boyle (2018), </w:t>
      </w:r>
      <w:r w:rsidRPr="00CB337C">
        <w:rPr>
          <w:rFonts w:cstheme="minorHAnsi"/>
          <w:i/>
        </w:rPr>
        <w:t>Public Sector Trends 2018</w:t>
      </w:r>
      <w:r w:rsidRPr="00CB337C">
        <w:rPr>
          <w:rFonts w:cstheme="minorHAnsi"/>
        </w:rPr>
        <w:t>, Dublin: Institute of Public Administration</w:t>
      </w:r>
    </w:p>
    <w:p w14:paraId="0D263399" w14:textId="77777777" w:rsidR="00DE4CD9" w:rsidRPr="00CB337C" w:rsidRDefault="00DE4CD9" w:rsidP="00CB337C">
      <w:pPr>
        <w:autoSpaceDE w:val="0"/>
        <w:autoSpaceDN w:val="0"/>
        <w:adjustRightInd w:val="0"/>
        <w:spacing w:after="0" w:line="360" w:lineRule="auto"/>
        <w:jc w:val="both"/>
        <w:rPr>
          <w:rFonts w:cstheme="minorHAnsi"/>
        </w:rPr>
      </w:pPr>
      <w:r w:rsidRPr="00CB337C">
        <w:rPr>
          <w:rFonts w:cstheme="minorHAnsi"/>
        </w:rPr>
        <w:t xml:space="preserve">Boyle (2019), </w:t>
      </w:r>
      <w:r w:rsidRPr="00CB337C">
        <w:rPr>
          <w:rFonts w:cstheme="minorHAnsi"/>
          <w:i/>
        </w:rPr>
        <w:t>Public Sector Trends 2019</w:t>
      </w:r>
      <w:r w:rsidRPr="00CB337C">
        <w:rPr>
          <w:rFonts w:cstheme="minorHAnsi"/>
        </w:rPr>
        <w:t>, Dublin: Institute of Public Administration</w:t>
      </w:r>
    </w:p>
    <w:p w14:paraId="16BDDAB9" w14:textId="6FE7442B" w:rsidR="00666E2F" w:rsidRPr="00CB337C" w:rsidRDefault="00666E2F" w:rsidP="00CB337C">
      <w:pPr>
        <w:spacing w:line="360" w:lineRule="auto"/>
        <w:jc w:val="both"/>
        <w:rPr>
          <w:rFonts w:cstheme="minorHAnsi"/>
        </w:rPr>
      </w:pPr>
      <w:r w:rsidRPr="00CB337C">
        <w:rPr>
          <w:rFonts w:cstheme="minorHAnsi"/>
        </w:rPr>
        <w:t xml:space="preserve">Clark, C. &amp; Kavanagh, C. (2021), </w:t>
      </w:r>
      <w:r w:rsidRPr="00CB337C">
        <w:rPr>
          <w:rFonts w:cstheme="minorHAnsi"/>
          <w:i/>
          <w:iCs/>
        </w:rPr>
        <w:t>Measuring Progress: The Sustainable Progress Index 2021</w:t>
      </w:r>
      <w:r w:rsidRPr="00CB337C">
        <w:rPr>
          <w:rFonts w:cstheme="minorHAnsi"/>
        </w:rPr>
        <w:t>, Dublin: Social Justice Ireland</w:t>
      </w:r>
    </w:p>
    <w:p w14:paraId="1356C088" w14:textId="77777777" w:rsidR="004F0CBB" w:rsidRPr="00CB337C" w:rsidRDefault="004F0CBB" w:rsidP="00CB337C">
      <w:pPr>
        <w:autoSpaceDE w:val="0"/>
        <w:autoSpaceDN w:val="0"/>
        <w:adjustRightInd w:val="0"/>
        <w:spacing w:after="0" w:line="360" w:lineRule="auto"/>
        <w:jc w:val="both"/>
        <w:rPr>
          <w:rFonts w:cstheme="minorHAnsi"/>
        </w:rPr>
      </w:pPr>
      <w:r w:rsidRPr="00CB337C">
        <w:rPr>
          <w:rFonts w:cstheme="minorHAnsi"/>
        </w:rPr>
        <w:t xml:space="preserve">Clarke, M., Kenny, A. &amp; Loxley, A. (2015), </w:t>
      </w:r>
      <w:r w:rsidRPr="00CB337C">
        <w:rPr>
          <w:rFonts w:cstheme="minorHAnsi"/>
          <w:i/>
        </w:rPr>
        <w:t>Creating a Supportive Working Environment for Academics in Higher Education</w:t>
      </w:r>
      <w:r w:rsidRPr="00CB337C">
        <w:rPr>
          <w:rFonts w:cstheme="minorHAnsi"/>
        </w:rPr>
        <w:t>: Country Report Ireland, Dublin: TUI/IFUT</w:t>
      </w:r>
    </w:p>
    <w:p w14:paraId="3CF145C4" w14:textId="071889A7" w:rsidR="00774CF1" w:rsidRPr="00CB337C" w:rsidRDefault="00774CF1" w:rsidP="00CB337C">
      <w:pPr>
        <w:spacing w:line="360" w:lineRule="auto"/>
        <w:jc w:val="both"/>
        <w:rPr>
          <w:rFonts w:cstheme="minorHAnsi"/>
        </w:rPr>
      </w:pPr>
      <w:r w:rsidRPr="00CB337C">
        <w:rPr>
          <w:rFonts w:cstheme="minorHAnsi"/>
        </w:rPr>
        <w:t xml:space="preserve">Clerkin, A., Perkins, R. &amp; Chubb, E. (2020), </w:t>
      </w:r>
      <w:r w:rsidRPr="00CB337C">
        <w:rPr>
          <w:rFonts w:cstheme="minorHAnsi"/>
          <w:i/>
          <w:iCs/>
        </w:rPr>
        <w:t>The Home Learning Environment in Ireland: Insights from TIMSS 2015 in Ireland</w:t>
      </w:r>
      <w:r w:rsidRPr="00CB337C">
        <w:rPr>
          <w:rFonts w:cstheme="minorHAnsi"/>
        </w:rPr>
        <w:t>, Dublin; Educational Research Centre</w:t>
      </w:r>
    </w:p>
    <w:p w14:paraId="1C6E257A" w14:textId="77777777" w:rsidR="00C01181" w:rsidRPr="00CB337C" w:rsidRDefault="00C01181" w:rsidP="00CB337C">
      <w:pPr>
        <w:spacing w:after="200" w:line="360" w:lineRule="auto"/>
        <w:jc w:val="both"/>
        <w:rPr>
          <w:rFonts w:cstheme="minorHAnsi"/>
        </w:rPr>
      </w:pPr>
      <w:bookmarkStart w:id="4" w:name="_Hlk61521204"/>
      <w:r w:rsidRPr="00CB337C">
        <w:rPr>
          <w:rFonts w:cstheme="minorHAnsi"/>
        </w:rPr>
        <w:t xml:space="preserve">Collins, T., Crowley, U. &amp; Quinlan, K. (2020), </w:t>
      </w:r>
      <w:r w:rsidRPr="00CB337C">
        <w:rPr>
          <w:rFonts w:cstheme="minorHAnsi"/>
          <w:i/>
          <w:iCs/>
        </w:rPr>
        <w:t>Review of Lecturing in Institutes of Technology / Technological Universities: International review module</w:t>
      </w:r>
      <w:r w:rsidRPr="00CB337C">
        <w:rPr>
          <w:rFonts w:cstheme="minorHAnsi"/>
        </w:rPr>
        <w:t xml:space="preserve">, Dublin: Department of Education and Skills </w:t>
      </w:r>
    </w:p>
    <w:bookmarkEnd w:id="4"/>
    <w:p w14:paraId="0F0E42A1" w14:textId="77777777" w:rsidR="00DF3151" w:rsidRPr="00CB337C" w:rsidRDefault="00DF3151" w:rsidP="00CB337C">
      <w:pPr>
        <w:spacing w:after="200" w:line="360" w:lineRule="auto"/>
        <w:jc w:val="both"/>
        <w:rPr>
          <w:rFonts w:cstheme="minorHAnsi"/>
        </w:rPr>
      </w:pPr>
      <w:proofErr w:type="spellStart"/>
      <w:r w:rsidRPr="00CB337C">
        <w:rPr>
          <w:rFonts w:cstheme="minorHAnsi"/>
        </w:rPr>
        <w:t>Comhairle</w:t>
      </w:r>
      <w:proofErr w:type="spellEnd"/>
      <w:r w:rsidRPr="00CB337C">
        <w:rPr>
          <w:rFonts w:cstheme="minorHAnsi"/>
        </w:rPr>
        <w:t xml:space="preserve"> </w:t>
      </w:r>
      <w:proofErr w:type="spellStart"/>
      <w:r w:rsidRPr="00CB337C">
        <w:rPr>
          <w:rFonts w:cstheme="minorHAnsi"/>
        </w:rPr>
        <w:t>na</w:t>
      </w:r>
      <w:proofErr w:type="spellEnd"/>
      <w:r w:rsidRPr="00CB337C">
        <w:rPr>
          <w:rFonts w:cstheme="minorHAnsi"/>
        </w:rPr>
        <w:t xml:space="preserve"> </w:t>
      </w:r>
      <w:proofErr w:type="spellStart"/>
      <w:r w:rsidRPr="00CB337C">
        <w:rPr>
          <w:rFonts w:cstheme="minorHAnsi"/>
        </w:rPr>
        <w:t>nOg</w:t>
      </w:r>
      <w:proofErr w:type="spellEnd"/>
      <w:r w:rsidRPr="00CB337C">
        <w:rPr>
          <w:rFonts w:cstheme="minorHAnsi"/>
        </w:rPr>
        <w:t xml:space="preserve"> (2017), </w:t>
      </w:r>
      <w:r w:rsidRPr="00CB337C">
        <w:rPr>
          <w:rFonts w:cstheme="minorHAnsi"/>
          <w:i/>
        </w:rPr>
        <w:t>So, How Was School Today?</w:t>
      </w:r>
      <w:r w:rsidRPr="00CB337C">
        <w:rPr>
          <w:rFonts w:cstheme="minorHAnsi"/>
        </w:rPr>
        <w:t xml:space="preserve"> Dublin: Department of Children and Youth Affairs </w:t>
      </w:r>
    </w:p>
    <w:p w14:paraId="311EC679" w14:textId="77777777" w:rsidR="00DF3151" w:rsidRPr="00CB337C" w:rsidRDefault="00DF3151" w:rsidP="00CB337C">
      <w:pPr>
        <w:spacing w:line="360" w:lineRule="auto"/>
        <w:jc w:val="both"/>
        <w:rPr>
          <w:rFonts w:eastAsia="Calibri" w:cstheme="minorHAnsi"/>
          <w:lang w:val="en-US"/>
        </w:rPr>
      </w:pPr>
      <w:proofErr w:type="spellStart"/>
      <w:r w:rsidRPr="00CB337C">
        <w:rPr>
          <w:rFonts w:eastAsia="Calibri" w:cstheme="minorHAnsi"/>
          <w:lang w:val="en-US"/>
        </w:rPr>
        <w:t>Coolahan</w:t>
      </w:r>
      <w:proofErr w:type="spellEnd"/>
      <w:r w:rsidRPr="00CB337C">
        <w:rPr>
          <w:rFonts w:eastAsia="Calibri" w:cstheme="minorHAnsi"/>
          <w:lang w:val="en-US"/>
        </w:rPr>
        <w:t xml:space="preserve">, J. (2017), “I am Never Happier than When I am with Teachers and School Leaders”, </w:t>
      </w:r>
      <w:r w:rsidRPr="00CB337C">
        <w:rPr>
          <w:rFonts w:eastAsia="Calibri" w:cstheme="minorHAnsi"/>
          <w:i/>
          <w:lang w:val="en-US"/>
        </w:rPr>
        <w:t xml:space="preserve">Pushing Boundaries, Expanding Vistas: Celebrating the work of John </w:t>
      </w:r>
      <w:proofErr w:type="spellStart"/>
      <w:r w:rsidRPr="00CB337C">
        <w:rPr>
          <w:rFonts w:eastAsia="Calibri" w:cstheme="minorHAnsi"/>
          <w:i/>
          <w:lang w:val="en-US"/>
        </w:rPr>
        <w:t>Coolahan</w:t>
      </w:r>
      <w:proofErr w:type="spellEnd"/>
      <w:r w:rsidRPr="00CB337C">
        <w:rPr>
          <w:rFonts w:eastAsia="Calibri" w:cstheme="minorHAnsi"/>
          <w:lang w:val="en-US"/>
        </w:rPr>
        <w:t>, Walsh, T., Dolan, R. eds. (2019), Maynooth: Maynooth University Department of Education</w:t>
      </w:r>
    </w:p>
    <w:p w14:paraId="04B0DB57" w14:textId="77777777" w:rsidR="00DF3151" w:rsidRPr="00CB337C" w:rsidRDefault="00DF3151" w:rsidP="00CB337C">
      <w:pPr>
        <w:spacing w:line="360" w:lineRule="auto"/>
        <w:jc w:val="both"/>
        <w:rPr>
          <w:rFonts w:cstheme="minorHAnsi"/>
        </w:rPr>
      </w:pPr>
      <w:r w:rsidRPr="00CB337C">
        <w:rPr>
          <w:rFonts w:cstheme="minorHAnsi"/>
        </w:rPr>
        <w:t xml:space="preserve">CSO (2009), </w:t>
      </w:r>
      <w:r w:rsidRPr="00CB337C">
        <w:rPr>
          <w:rFonts w:cstheme="minorHAnsi"/>
          <w:i/>
        </w:rPr>
        <w:t>Children and Young People in Ireland 2008</w:t>
      </w:r>
      <w:r w:rsidRPr="00CB337C">
        <w:rPr>
          <w:rFonts w:cstheme="minorHAnsi"/>
        </w:rPr>
        <w:t xml:space="preserve">, Cork: Central Statistics Office </w:t>
      </w:r>
    </w:p>
    <w:p w14:paraId="0FDB41BF" w14:textId="77777777" w:rsidR="00DF3151" w:rsidRPr="00CB337C" w:rsidRDefault="00DF3151" w:rsidP="00CB337C">
      <w:pPr>
        <w:spacing w:line="360" w:lineRule="auto"/>
        <w:jc w:val="both"/>
        <w:rPr>
          <w:rFonts w:cstheme="minorHAnsi"/>
        </w:rPr>
      </w:pPr>
      <w:r w:rsidRPr="00CB337C">
        <w:rPr>
          <w:rFonts w:cstheme="minorHAnsi"/>
        </w:rPr>
        <w:t xml:space="preserve">CSO (2017), </w:t>
      </w:r>
      <w:r w:rsidRPr="00CB337C">
        <w:rPr>
          <w:rFonts w:cstheme="minorHAnsi"/>
          <w:i/>
        </w:rPr>
        <w:t>Vital Statistics Yearly Summary 2016</w:t>
      </w:r>
      <w:r w:rsidRPr="00CB337C">
        <w:rPr>
          <w:rFonts w:cstheme="minorHAnsi"/>
        </w:rPr>
        <w:t>, Cork: Central Statistics Office</w:t>
      </w:r>
    </w:p>
    <w:p w14:paraId="124BB9E1" w14:textId="7E493ADA" w:rsidR="0003484C" w:rsidRPr="00CB337C" w:rsidRDefault="0003484C" w:rsidP="00CB337C">
      <w:pPr>
        <w:pStyle w:val="Default"/>
        <w:spacing w:line="360" w:lineRule="auto"/>
        <w:jc w:val="both"/>
        <w:rPr>
          <w:rFonts w:asciiTheme="minorHAnsi" w:hAnsiTheme="minorHAnsi" w:cstheme="minorHAnsi"/>
          <w:color w:val="auto"/>
          <w:sz w:val="22"/>
          <w:szCs w:val="22"/>
        </w:rPr>
      </w:pPr>
      <w:r w:rsidRPr="00CB337C">
        <w:rPr>
          <w:rFonts w:asciiTheme="minorHAnsi" w:hAnsiTheme="minorHAnsi" w:cstheme="minorHAnsi"/>
          <w:color w:val="auto"/>
          <w:sz w:val="22"/>
          <w:szCs w:val="22"/>
        </w:rPr>
        <w:t xml:space="preserve">CSO (2018), </w:t>
      </w:r>
      <w:r w:rsidRPr="00CB337C">
        <w:rPr>
          <w:rFonts w:asciiTheme="minorHAnsi" w:hAnsiTheme="minorHAnsi" w:cstheme="minorHAnsi"/>
          <w:i/>
          <w:color w:val="auto"/>
          <w:sz w:val="22"/>
          <w:szCs w:val="22"/>
        </w:rPr>
        <w:t>Higher Education Outcomes: Graduation years 2010-2014</w:t>
      </w:r>
      <w:r w:rsidRPr="00CB337C">
        <w:rPr>
          <w:rFonts w:asciiTheme="minorHAnsi" w:hAnsiTheme="minorHAnsi" w:cstheme="minorHAnsi"/>
          <w:color w:val="auto"/>
          <w:sz w:val="22"/>
          <w:szCs w:val="22"/>
        </w:rPr>
        <w:t>, Cork: Central Statistics Office / Higher Education Authority</w:t>
      </w:r>
    </w:p>
    <w:p w14:paraId="6975E525" w14:textId="77777777" w:rsidR="00DF3151" w:rsidRPr="00CB337C" w:rsidRDefault="00DF3151" w:rsidP="00CB337C">
      <w:pPr>
        <w:spacing w:line="360" w:lineRule="auto"/>
        <w:jc w:val="both"/>
        <w:rPr>
          <w:rFonts w:cstheme="minorHAnsi"/>
        </w:rPr>
      </w:pPr>
      <w:r w:rsidRPr="00CB337C">
        <w:rPr>
          <w:rFonts w:eastAsia="Calibri" w:cstheme="minorHAnsi"/>
          <w:lang w:val="en-US"/>
        </w:rPr>
        <w:t xml:space="preserve">CSO (2019), </w:t>
      </w:r>
      <w:r w:rsidRPr="00CB337C">
        <w:rPr>
          <w:rFonts w:eastAsia="Calibri" w:cstheme="minorHAnsi"/>
          <w:i/>
          <w:lang w:val="en-US"/>
        </w:rPr>
        <w:t>Educational Attainment Thematic Report 2019</w:t>
      </w:r>
      <w:r w:rsidRPr="00CB337C">
        <w:rPr>
          <w:rFonts w:eastAsia="Calibri" w:cstheme="minorHAnsi"/>
          <w:lang w:val="en-US"/>
        </w:rPr>
        <w:t>, Cork: Central Statistics Office</w:t>
      </w:r>
    </w:p>
    <w:p w14:paraId="6311E407" w14:textId="44846CD1" w:rsidR="00237348" w:rsidRPr="00CB337C" w:rsidRDefault="00237348" w:rsidP="00CB337C">
      <w:pPr>
        <w:spacing w:line="360" w:lineRule="auto"/>
        <w:jc w:val="both"/>
        <w:rPr>
          <w:rFonts w:cstheme="minorHAnsi"/>
        </w:rPr>
      </w:pPr>
      <w:bookmarkStart w:id="5" w:name="_Hlk90393781"/>
      <w:r w:rsidRPr="00CB337C">
        <w:rPr>
          <w:rFonts w:eastAsia="Calibri" w:cstheme="minorHAnsi"/>
          <w:lang w:val="en-US"/>
        </w:rPr>
        <w:t xml:space="preserve">CSO (2020), </w:t>
      </w:r>
      <w:r w:rsidRPr="00CB337C">
        <w:rPr>
          <w:rFonts w:eastAsia="Calibri" w:cstheme="minorHAnsi"/>
          <w:i/>
          <w:lang w:val="en-US"/>
        </w:rPr>
        <w:t>Measuring Ireland’s Progress 2018</w:t>
      </w:r>
      <w:r w:rsidRPr="00CB337C">
        <w:rPr>
          <w:rFonts w:eastAsia="Calibri" w:cstheme="minorHAnsi"/>
          <w:lang w:val="en-US"/>
        </w:rPr>
        <w:t>, Cork: Central Statistics Office</w:t>
      </w:r>
    </w:p>
    <w:p w14:paraId="5DCF0550" w14:textId="2DC7BA4D" w:rsidR="00190FF7" w:rsidRPr="00CB337C" w:rsidRDefault="00190FF7" w:rsidP="00190FF7">
      <w:pPr>
        <w:spacing w:line="360" w:lineRule="auto"/>
        <w:jc w:val="both"/>
        <w:rPr>
          <w:rFonts w:cstheme="minorHAnsi"/>
        </w:rPr>
      </w:pPr>
      <w:bookmarkStart w:id="6" w:name="_Hlk47014833"/>
      <w:bookmarkEnd w:id="5"/>
      <w:r w:rsidRPr="00CB337C">
        <w:rPr>
          <w:rFonts w:eastAsia="Calibri" w:cstheme="minorHAnsi"/>
          <w:lang w:val="en-US"/>
        </w:rPr>
        <w:t>CSO (202</w:t>
      </w:r>
      <w:r>
        <w:rPr>
          <w:rFonts w:eastAsia="Calibri" w:cstheme="minorHAnsi"/>
          <w:lang w:val="en-US"/>
        </w:rPr>
        <w:t>1</w:t>
      </w:r>
      <w:r w:rsidRPr="00CB337C">
        <w:rPr>
          <w:rFonts w:eastAsia="Calibri" w:cstheme="minorHAnsi"/>
          <w:lang w:val="en-US"/>
        </w:rPr>
        <w:t xml:space="preserve">), </w:t>
      </w:r>
      <w:r w:rsidRPr="00CB337C">
        <w:rPr>
          <w:rFonts w:eastAsia="Calibri" w:cstheme="minorHAnsi"/>
          <w:i/>
          <w:lang w:val="en-US"/>
        </w:rPr>
        <w:t>Measuring Ireland’s Progress 201</w:t>
      </w:r>
      <w:r>
        <w:rPr>
          <w:rFonts w:eastAsia="Calibri" w:cstheme="minorHAnsi"/>
          <w:i/>
          <w:lang w:val="en-US"/>
        </w:rPr>
        <w:t>9</w:t>
      </w:r>
      <w:r w:rsidRPr="00CB337C">
        <w:rPr>
          <w:rFonts w:eastAsia="Calibri" w:cstheme="minorHAnsi"/>
          <w:lang w:val="en-US"/>
        </w:rPr>
        <w:t>, Cork: Central Statistics Office</w:t>
      </w:r>
    </w:p>
    <w:p w14:paraId="4065C612" w14:textId="77777777" w:rsidR="000737B9" w:rsidRPr="00CB337C" w:rsidRDefault="000737B9" w:rsidP="00CB337C">
      <w:pPr>
        <w:spacing w:line="360" w:lineRule="auto"/>
        <w:jc w:val="both"/>
        <w:rPr>
          <w:rFonts w:cstheme="minorHAnsi"/>
        </w:rPr>
      </w:pPr>
      <w:r w:rsidRPr="00CB337C">
        <w:rPr>
          <w:rFonts w:cstheme="minorHAnsi"/>
        </w:rPr>
        <w:t xml:space="preserve">DCYA (2020), </w:t>
      </w:r>
      <w:r w:rsidRPr="00CB337C">
        <w:rPr>
          <w:rFonts w:cstheme="minorHAnsi"/>
          <w:i/>
          <w:iCs/>
        </w:rPr>
        <w:t>Income, Poverty and Deprivation Among Children: A statistical baseline analysis</w:t>
      </w:r>
      <w:r w:rsidRPr="00CB337C">
        <w:rPr>
          <w:rFonts w:cstheme="minorHAnsi"/>
        </w:rPr>
        <w:t>, Dublin: Department of Children and Youth Affairs</w:t>
      </w:r>
    </w:p>
    <w:bookmarkEnd w:id="6"/>
    <w:p w14:paraId="6995CECD" w14:textId="6E89EE22" w:rsidR="003A6B0B" w:rsidRPr="00CB337C" w:rsidRDefault="003A6B0B" w:rsidP="003A6B0B">
      <w:pPr>
        <w:autoSpaceDE w:val="0"/>
        <w:autoSpaceDN w:val="0"/>
        <w:adjustRightInd w:val="0"/>
        <w:spacing w:after="0" w:line="360" w:lineRule="auto"/>
        <w:jc w:val="both"/>
        <w:rPr>
          <w:rFonts w:cstheme="minorHAnsi"/>
        </w:rPr>
      </w:pPr>
      <w:r w:rsidRPr="00CB337C">
        <w:rPr>
          <w:rFonts w:cstheme="minorHAnsi"/>
        </w:rPr>
        <w:t>DE (20</w:t>
      </w:r>
      <w:r>
        <w:rPr>
          <w:rFonts w:cstheme="minorHAnsi"/>
        </w:rPr>
        <w:t>21a</w:t>
      </w:r>
      <w:r w:rsidRPr="00CB337C">
        <w:rPr>
          <w:rFonts w:cstheme="minorHAnsi"/>
        </w:rPr>
        <w:t xml:space="preserve">), </w:t>
      </w:r>
      <w:r>
        <w:rPr>
          <w:rFonts w:cstheme="minorHAnsi"/>
        </w:rPr>
        <w:t xml:space="preserve">Regional </w:t>
      </w:r>
      <w:r w:rsidRPr="00CB337C">
        <w:rPr>
          <w:rFonts w:cstheme="minorHAnsi"/>
          <w:i/>
        </w:rPr>
        <w:t xml:space="preserve">Projections of </w:t>
      </w:r>
      <w:r>
        <w:rPr>
          <w:rFonts w:cstheme="minorHAnsi"/>
          <w:i/>
        </w:rPr>
        <w:t>Full-time Enrolments, Primary and Second Level, 2021</w:t>
      </w:r>
      <w:r w:rsidRPr="00CB337C">
        <w:rPr>
          <w:rFonts w:cstheme="minorHAnsi"/>
          <w:i/>
        </w:rPr>
        <w:t xml:space="preserve"> to 20</w:t>
      </w:r>
      <w:r>
        <w:rPr>
          <w:rFonts w:cstheme="minorHAnsi"/>
          <w:i/>
        </w:rPr>
        <w:t>36</w:t>
      </w:r>
      <w:r w:rsidRPr="00CB337C">
        <w:rPr>
          <w:rFonts w:cstheme="minorHAnsi"/>
        </w:rPr>
        <w:t>, Dublin: Department of Education</w:t>
      </w:r>
    </w:p>
    <w:p w14:paraId="4FBCE120" w14:textId="0F1DA404" w:rsidR="003A6B0B" w:rsidRPr="00CB337C" w:rsidRDefault="003A6B0B" w:rsidP="003A6B0B">
      <w:pPr>
        <w:autoSpaceDE w:val="0"/>
        <w:autoSpaceDN w:val="0"/>
        <w:adjustRightInd w:val="0"/>
        <w:spacing w:after="0" w:line="360" w:lineRule="auto"/>
        <w:jc w:val="both"/>
        <w:rPr>
          <w:rFonts w:cstheme="minorHAnsi"/>
        </w:rPr>
      </w:pPr>
      <w:r w:rsidRPr="00CB337C">
        <w:rPr>
          <w:rFonts w:cstheme="minorHAnsi"/>
        </w:rPr>
        <w:t>DE (20</w:t>
      </w:r>
      <w:r>
        <w:rPr>
          <w:rFonts w:cstheme="minorHAnsi"/>
        </w:rPr>
        <w:t>21b</w:t>
      </w:r>
      <w:r w:rsidRPr="00CB337C">
        <w:rPr>
          <w:rFonts w:cstheme="minorHAnsi"/>
        </w:rPr>
        <w:t xml:space="preserve">), </w:t>
      </w:r>
      <w:r w:rsidRPr="003A6B0B">
        <w:rPr>
          <w:rFonts w:cstheme="minorHAnsi"/>
          <w:i/>
          <w:iCs/>
        </w:rPr>
        <w:t>Education Indicators for Ireland 2021</w:t>
      </w:r>
      <w:r>
        <w:rPr>
          <w:rFonts w:cstheme="minorHAnsi"/>
        </w:rPr>
        <w:t>,</w:t>
      </w:r>
      <w:r w:rsidRPr="00CB337C">
        <w:rPr>
          <w:rFonts w:cstheme="minorHAnsi"/>
        </w:rPr>
        <w:t xml:space="preserve"> Dublin: Department of Education</w:t>
      </w:r>
    </w:p>
    <w:p w14:paraId="13D24818" w14:textId="555A8C22" w:rsidR="00F03461" w:rsidRPr="00CB337C" w:rsidRDefault="00F03461" w:rsidP="00F03461">
      <w:pPr>
        <w:autoSpaceDE w:val="0"/>
        <w:autoSpaceDN w:val="0"/>
        <w:adjustRightInd w:val="0"/>
        <w:spacing w:after="0" w:line="360" w:lineRule="auto"/>
        <w:jc w:val="both"/>
        <w:rPr>
          <w:rFonts w:cstheme="minorHAnsi"/>
        </w:rPr>
      </w:pPr>
      <w:r w:rsidRPr="00CB337C">
        <w:rPr>
          <w:rFonts w:cstheme="minorHAnsi"/>
        </w:rPr>
        <w:lastRenderedPageBreak/>
        <w:t>DES (201</w:t>
      </w:r>
      <w:r>
        <w:rPr>
          <w:rFonts w:cstheme="minorHAnsi"/>
        </w:rPr>
        <w:t>2</w:t>
      </w:r>
      <w:r w:rsidRPr="00CB337C">
        <w:rPr>
          <w:rFonts w:cstheme="minorHAnsi"/>
        </w:rPr>
        <w:t xml:space="preserve">), </w:t>
      </w:r>
      <w:r w:rsidRPr="00CB337C">
        <w:rPr>
          <w:rFonts w:cstheme="minorHAnsi"/>
          <w:i/>
        </w:rPr>
        <w:t xml:space="preserve">Projections of </w:t>
      </w:r>
      <w:r>
        <w:rPr>
          <w:rFonts w:cstheme="minorHAnsi"/>
          <w:i/>
        </w:rPr>
        <w:t>Full-time Enrolment, Primary and Second Level, 2012</w:t>
      </w:r>
      <w:r w:rsidRPr="00CB337C">
        <w:rPr>
          <w:rFonts w:cstheme="minorHAnsi"/>
          <w:i/>
        </w:rPr>
        <w:t xml:space="preserve"> to 20</w:t>
      </w:r>
      <w:r>
        <w:rPr>
          <w:rFonts w:cstheme="minorHAnsi"/>
          <w:i/>
        </w:rPr>
        <w:t>3</w:t>
      </w:r>
      <w:r w:rsidRPr="00CB337C">
        <w:rPr>
          <w:rFonts w:cstheme="minorHAnsi"/>
          <w:i/>
        </w:rPr>
        <w:t>0</w:t>
      </w:r>
      <w:r w:rsidRPr="00CB337C">
        <w:rPr>
          <w:rFonts w:cstheme="minorHAnsi"/>
        </w:rPr>
        <w:t>, Dublin: Department of Education and Skills</w:t>
      </w:r>
    </w:p>
    <w:p w14:paraId="4E9FC74A" w14:textId="59950114" w:rsidR="00374689" w:rsidRDefault="00374689" w:rsidP="00CB337C">
      <w:pPr>
        <w:spacing w:line="360" w:lineRule="auto"/>
        <w:jc w:val="both"/>
        <w:rPr>
          <w:rFonts w:cstheme="minorHAnsi"/>
        </w:rPr>
      </w:pPr>
      <w:r>
        <w:rPr>
          <w:rFonts w:cstheme="minorHAnsi"/>
        </w:rPr>
        <w:t xml:space="preserve">DES (2016), </w:t>
      </w:r>
      <w:r w:rsidRPr="00374689">
        <w:rPr>
          <w:rFonts w:cstheme="minorHAnsi"/>
          <w:i/>
          <w:iCs/>
        </w:rPr>
        <w:t>A Report on Science, Engineering, Technology and Mathematics Education, Analysis and Recommendation, The STEM Education Review Group</w:t>
      </w:r>
      <w:r>
        <w:rPr>
          <w:rFonts w:cstheme="minorHAnsi"/>
        </w:rPr>
        <w:t>, Dublin: Department of Education and Skills</w:t>
      </w:r>
    </w:p>
    <w:p w14:paraId="5F563F22" w14:textId="3033CF2D" w:rsidR="00DF3151" w:rsidRPr="00CB337C" w:rsidRDefault="00DF3151" w:rsidP="00CB337C">
      <w:pPr>
        <w:spacing w:line="360" w:lineRule="auto"/>
        <w:jc w:val="both"/>
        <w:rPr>
          <w:rFonts w:cstheme="minorHAnsi"/>
        </w:rPr>
      </w:pPr>
      <w:r w:rsidRPr="00CB337C">
        <w:rPr>
          <w:rFonts w:cstheme="minorHAnsi"/>
        </w:rPr>
        <w:t xml:space="preserve">DES (2018a), </w:t>
      </w:r>
      <w:r w:rsidRPr="00CB337C">
        <w:rPr>
          <w:rFonts w:cstheme="minorHAnsi"/>
          <w:i/>
        </w:rPr>
        <w:t>Chief Inspector’s Report 2013-2016</w:t>
      </w:r>
      <w:r w:rsidRPr="00CB337C">
        <w:rPr>
          <w:rFonts w:cstheme="minorHAnsi"/>
        </w:rPr>
        <w:t xml:space="preserve">, Dublin: Department of Education and Skills Inspectorate </w:t>
      </w:r>
    </w:p>
    <w:p w14:paraId="0AC0F3EA" w14:textId="77777777" w:rsidR="00DF3151" w:rsidRPr="00CB337C" w:rsidRDefault="00DF3151" w:rsidP="00CB337C">
      <w:pPr>
        <w:spacing w:line="360" w:lineRule="auto"/>
        <w:jc w:val="both"/>
        <w:rPr>
          <w:rFonts w:cstheme="minorHAnsi"/>
        </w:rPr>
      </w:pPr>
      <w:r w:rsidRPr="00CB337C">
        <w:rPr>
          <w:rFonts w:cstheme="minorHAnsi"/>
        </w:rPr>
        <w:t xml:space="preserve">DES (2018b), </w:t>
      </w:r>
      <w:r w:rsidRPr="00CB337C">
        <w:rPr>
          <w:rFonts w:cstheme="minorHAnsi"/>
          <w:i/>
        </w:rPr>
        <w:t xml:space="preserve">Opening Statement to the Joint Oireachtas Committee on Education and Skills, </w:t>
      </w:r>
      <w:r w:rsidRPr="00CB337C">
        <w:rPr>
          <w:rFonts w:cstheme="minorHAnsi"/>
        </w:rPr>
        <w:t>August 29</w:t>
      </w:r>
      <w:r w:rsidRPr="00CB337C">
        <w:rPr>
          <w:rFonts w:cstheme="minorHAnsi"/>
          <w:vertAlign w:val="superscript"/>
        </w:rPr>
        <w:t>th</w:t>
      </w:r>
      <w:r w:rsidRPr="00CB337C">
        <w:rPr>
          <w:rFonts w:cstheme="minorHAnsi"/>
        </w:rPr>
        <w:t xml:space="preserve">, 2018 </w:t>
      </w:r>
    </w:p>
    <w:p w14:paraId="275A1573" w14:textId="77777777" w:rsidR="00DF3151" w:rsidRPr="00CB337C" w:rsidRDefault="00DF3151" w:rsidP="00CB337C">
      <w:pPr>
        <w:spacing w:line="360" w:lineRule="auto"/>
        <w:jc w:val="both"/>
        <w:rPr>
          <w:rFonts w:cstheme="minorHAnsi"/>
        </w:rPr>
      </w:pPr>
      <w:r w:rsidRPr="00CB337C">
        <w:rPr>
          <w:rFonts w:cstheme="minorHAnsi"/>
        </w:rPr>
        <w:t xml:space="preserve">DES (2018c), </w:t>
      </w:r>
      <w:r w:rsidRPr="00CB337C">
        <w:rPr>
          <w:rFonts w:cstheme="minorHAnsi"/>
          <w:i/>
        </w:rPr>
        <w:t xml:space="preserve">Minister’s Brief: Overview, </w:t>
      </w:r>
      <w:r w:rsidRPr="00CB337C">
        <w:rPr>
          <w:rFonts w:cstheme="minorHAnsi"/>
        </w:rPr>
        <w:t xml:space="preserve">Dublin: Department of Education and Skills </w:t>
      </w:r>
    </w:p>
    <w:p w14:paraId="3416C7B9" w14:textId="2F1E8BE7" w:rsidR="00A02D26" w:rsidRPr="00CB337C" w:rsidRDefault="00A02D26" w:rsidP="00CB337C">
      <w:pPr>
        <w:autoSpaceDE w:val="0"/>
        <w:autoSpaceDN w:val="0"/>
        <w:adjustRightInd w:val="0"/>
        <w:spacing w:after="0" w:line="360" w:lineRule="auto"/>
        <w:jc w:val="both"/>
        <w:rPr>
          <w:rFonts w:cstheme="minorHAnsi"/>
        </w:rPr>
      </w:pPr>
      <w:bookmarkStart w:id="7" w:name="_Hlk71641055"/>
      <w:r w:rsidRPr="00CB337C">
        <w:rPr>
          <w:rFonts w:cstheme="minorHAnsi"/>
        </w:rPr>
        <w:t xml:space="preserve">DES (2018d), </w:t>
      </w:r>
      <w:r w:rsidRPr="00CB337C">
        <w:rPr>
          <w:rFonts w:cstheme="minorHAnsi"/>
          <w:i/>
        </w:rPr>
        <w:t>Projections of Demand for Full-Time Third Level Education 2018 to 2040</w:t>
      </w:r>
      <w:r w:rsidRPr="00CB337C">
        <w:rPr>
          <w:rFonts w:cstheme="minorHAnsi"/>
        </w:rPr>
        <w:t>, Dublin: Department of Education and Skills</w:t>
      </w:r>
    </w:p>
    <w:bookmarkEnd w:id="7"/>
    <w:p w14:paraId="2F168EB6" w14:textId="77777777" w:rsidR="007E2CA8" w:rsidRPr="00CB337C" w:rsidRDefault="007E2CA8" w:rsidP="00CB337C">
      <w:pPr>
        <w:autoSpaceDE w:val="0"/>
        <w:autoSpaceDN w:val="0"/>
        <w:adjustRightInd w:val="0"/>
        <w:spacing w:after="0" w:line="360" w:lineRule="auto"/>
        <w:jc w:val="both"/>
        <w:rPr>
          <w:rFonts w:cstheme="minorHAnsi"/>
          <w:bCs/>
        </w:rPr>
      </w:pPr>
      <w:r w:rsidRPr="00CB337C">
        <w:rPr>
          <w:rFonts w:cstheme="minorHAnsi"/>
          <w:bCs/>
        </w:rPr>
        <w:t xml:space="preserve">DES (2019), </w:t>
      </w:r>
      <w:r w:rsidRPr="00CB337C">
        <w:rPr>
          <w:rFonts w:cstheme="minorHAnsi"/>
          <w:bCs/>
          <w:i/>
        </w:rPr>
        <w:t>Education Indicators for Ireland October 2019</w:t>
      </w:r>
      <w:r w:rsidRPr="00CB337C">
        <w:rPr>
          <w:rFonts w:cstheme="minorHAnsi"/>
          <w:bCs/>
        </w:rPr>
        <w:t>, Dublin: Department of Education and Skills</w:t>
      </w:r>
    </w:p>
    <w:p w14:paraId="45F5B485" w14:textId="77777777" w:rsidR="00DF3151" w:rsidRPr="00CB337C" w:rsidRDefault="00DF3151" w:rsidP="00CB337C">
      <w:pPr>
        <w:spacing w:line="360" w:lineRule="auto"/>
        <w:jc w:val="both"/>
        <w:rPr>
          <w:rFonts w:cstheme="minorHAnsi"/>
        </w:rPr>
      </w:pPr>
      <w:proofErr w:type="spellStart"/>
      <w:r w:rsidRPr="00CB337C">
        <w:rPr>
          <w:rFonts w:cstheme="minorHAnsi"/>
        </w:rPr>
        <w:t>Eivers</w:t>
      </w:r>
      <w:proofErr w:type="spellEnd"/>
      <w:r w:rsidRPr="00CB337C">
        <w:rPr>
          <w:rFonts w:cstheme="minorHAnsi"/>
        </w:rPr>
        <w:t>, E. (2019), Left to their Own Devices: Trends in ICT at primary school level, Cork: Irish Primary Principals Network</w:t>
      </w:r>
    </w:p>
    <w:p w14:paraId="788A1F7C" w14:textId="77777777" w:rsidR="007E2CA8" w:rsidRPr="00CB337C" w:rsidRDefault="007E2CA8" w:rsidP="00CB337C">
      <w:pPr>
        <w:spacing w:line="360" w:lineRule="auto"/>
        <w:jc w:val="both"/>
        <w:rPr>
          <w:rFonts w:cstheme="minorHAnsi"/>
        </w:rPr>
      </w:pPr>
      <w:bookmarkStart w:id="8" w:name="_Hlk47014931"/>
      <w:r w:rsidRPr="00CB337C">
        <w:rPr>
          <w:rFonts w:cstheme="minorHAnsi"/>
        </w:rPr>
        <w:t xml:space="preserve">Erskine, S. &amp; Harmon, D. (2020), </w:t>
      </w:r>
      <w:proofErr w:type="spellStart"/>
      <w:r w:rsidRPr="00CB337C">
        <w:rPr>
          <w:rFonts w:cstheme="minorHAnsi"/>
          <w:i/>
        </w:rPr>
        <w:t>Eurostudent</w:t>
      </w:r>
      <w:proofErr w:type="spellEnd"/>
      <w:r w:rsidRPr="00CB337C">
        <w:rPr>
          <w:rFonts w:cstheme="minorHAnsi"/>
          <w:i/>
        </w:rPr>
        <w:t xml:space="preserve"> Survey VII: Report on the social and living conditions of higher education students in Ireland 2019</w:t>
      </w:r>
      <w:r w:rsidRPr="00CB337C">
        <w:rPr>
          <w:rFonts w:cstheme="minorHAnsi"/>
        </w:rPr>
        <w:t xml:space="preserve">, Dublin: Higher Education Authority </w:t>
      </w:r>
    </w:p>
    <w:p w14:paraId="3A867716" w14:textId="1631334F" w:rsidR="000737B9" w:rsidRPr="00CB337C" w:rsidRDefault="000737B9" w:rsidP="00CB337C">
      <w:pPr>
        <w:spacing w:line="360" w:lineRule="auto"/>
        <w:jc w:val="both"/>
        <w:rPr>
          <w:rFonts w:cstheme="minorHAnsi"/>
        </w:rPr>
      </w:pPr>
      <w:r w:rsidRPr="00CB337C">
        <w:rPr>
          <w:rFonts w:cstheme="minorHAnsi"/>
        </w:rPr>
        <w:t xml:space="preserve">ESRI (2020), </w:t>
      </w:r>
      <w:r w:rsidRPr="00CB337C">
        <w:rPr>
          <w:rFonts w:cstheme="minorHAnsi"/>
          <w:i/>
        </w:rPr>
        <w:t xml:space="preserve">Growing Up in Ireland </w:t>
      </w:r>
      <w:proofErr w:type="gramStart"/>
      <w:r w:rsidRPr="00CB337C">
        <w:rPr>
          <w:rFonts w:cstheme="minorHAnsi"/>
          <w:i/>
        </w:rPr>
        <w:t>The</w:t>
      </w:r>
      <w:proofErr w:type="gramEnd"/>
      <w:r w:rsidRPr="00CB337C">
        <w:rPr>
          <w:rFonts w:cstheme="minorHAnsi"/>
          <w:i/>
        </w:rPr>
        <w:t xml:space="preserve"> Lives of 17/18 Year Olds, </w:t>
      </w:r>
      <w:r w:rsidRPr="00CB337C">
        <w:rPr>
          <w:rFonts w:cstheme="minorHAnsi"/>
        </w:rPr>
        <w:t>Dublin: Economic and Social Research Institute</w:t>
      </w:r>
    </w:p>
    <w:bookmarkEnd w:id="8"/>
    <w:p w14:paraId="547005A8" w14:textId="7E5F474F" w:rsidR="00DF3151" w:rsidRPr="00CB337C" w:rsidRDefault="00DF3151" w:rsidP="00CB337C">
      <w:pPr>
        <w:autoSpaceDE w:val="0"/>
        <w:autoSpaceDN w:val="0"/>
        <w:adjustRightInd w:val="0"/>
        <w:spacing w:after="0" w:line="360" w:lineRule="auto"/>
        <w:jc w:val="both"/>
        <w:rPr>
          <w:rFonts w:eastAsia="BrandonGrotesque-Regular" w:cstheme="minorHAnsi"/>
        </w:rPr>
      </w:pPr>
      <w:r w:rsidRPr="00CB337C">
        <w:rPr>
          <w:rFonts w:eastAsia="BrandonGrotesque-Regular" w:cstheme="minorHAnsi"/>
        </w:rPr>
        <w:t xml:space="preserve">EU Commission (2018), </w:t>
      </w:r>
      <w:r w:rsidRPr="00CB337C">
        <w:rPr>
          <w:rFonts w:eastAsia="BrandonGrotesque-Regular" w:cstheme="minorHAnsi"/>
          <w:i/>
        </w:rPr>
        <w:t>Labour Market Policy Thematic Review 2018</w:t>
      </w:r>
      <w:r w:rsidRPr="00CB337C">
        <w:rPr>
          <w:rFonts w:eastAsia="BrandonGrotesque-Regular" w:cstheme="minorHAnsi"/>
        </w:rPr>
        <w:t>, Luxembourg: Publications Office of the European Union</w:t>
      </w:r>
    </w:p>
    <w:p w14:paraId="6895F371" w14:textId="77777777" w:rsidR="00DF3151" w:rsidRPr="00CB337C" w:rsidRDefault="00DF3151" w:rsidP="00CB337C">
      <w:pPr>
        <w:spacing w:line="360" w:lineRule="auto"/>
        <w:jc w:val="both"/>
        <w:rPr>
          <w:rFonts w:cstheme="minorHAnsi"/>
        </w:rPr>
      </w:pPr>
      <w:r w:rsidRPr="00CB337C">
        <w:rPr>
          <w:rFonts w:eastAsia="BrandonGrotesque-Regular" w:cstheme="minorHAnsi"/>
        </w:rPr>
        <w:t xml:space="preserve">EU Commission (2019a), </w:t>
      </w:r>
      <w:r w:rsidRPr="00CB337C">
        <w:rPr>
          <w:rFonts w:eastAsia="BrandonGrotesque-Regular" w:cstheme="minorHAnsi"/>
          <w:i/>
        </w:rPr>
        <w:t>Country Report Ireland 2019</w:t>
      </w:r>
      <w:r w:rsidRPr="00CB337C">
        <w:rPr>
          <w:rFonts w:eastAsia="BrandonGrotesque-Regular" w:cstheme="minorHAnsi"/>
        </w:rPr>
        <w:t>, Brussels: European Commission</w:t>
      </w:r>
      <w:r w:rsidRPr="00CB337C">
        <w:rPr>
          <w:rFonts w:cstheme="minorHAnsi"/>
        </w:rPr>
        <w:t xml:space="preserve"> </w:t>
      </w:r>
    </w:p>
    <w:p w14:paraId="5BA92817" w14:textId="77777777" w:rsidR="00DF3151" w:rsidRPr="00CB337C" w:rsidRDefault="00DF3151" w:rsidP="00CB337C">
      <w:pPr>
        <w:spacing w:line="360" w:lineRule="auto"/>
        <w:jc w:val="both"/>
        <w:rPr>
          <w:rFonts w:cstheme="minorHAnsi"/>
        </w:rPr>
      </w:pPr>
      <w:r w:rsidRPr="00CB337C">
        <w:rPr>
          <w:rFonts w:eastAsia="BrandonGrotesque-Regular" w:cstheme="minorHAnsi"/>
        </w:rPr>
        <w:t xml:space="preserve">EU Commission (2019b), </w:t>
      </w:r>
      <w:r w:rsidRPr="00CB337C">
        <w:rPr>
          <w:rFonts w:eastAsia="BrandonGrotesque-Regular" w:cstheme="minorHAnsi"/>
          <w:i/>
        </w:rPr>
        <w:t>Education and Training Monitor 2019</w:t>
      </w:r>
      <w:r w:rsidRPr="00CB337C">
        <w:rPr>
          <w:rFonts w:eastAsia="BrandonGrotesque-Regular" w:cstheme="minorHAnsi"/>
        </w:rPr>
        <w:t>, Brussels: European Commission</w:t>
      </w:r>
      <w:r w:rsidRPr="00CB337C">
        <w:rPr>
          <w:rFonts w:cstheme="minorHAnsi"/>
        </w:rPr>
        <w:t xml:space="preserve"> </w:t>
      </w:r>
    </w:p>
    <w:p w14:paraId="1040F594" w14:textId="77777777" w:rsidR="00DF3151" w:rsidRPr="00CB337C" w:rsidRDefault="00DF3151" w:rsidP="00CB337C">
      <w:pPr>
        <w:spacing w:line="360" w:lineRule="auto"/>
        <w:jc w:val="both"/>
        <w:rPr>
          <w:rFonts w:cstheme="minorHAnsi"/>
        </w:rPr>
      </w:pPr>
      <w:r w:rsidRPr="00CB337C">
        <w:rPr>
          <w:rFonts w:cstheme="minorHAnsi"/>
        </w:rPr>
        <w:t xml:space="preserve">EU Commission / EACEA / Eurydice (2018), </w:t>
      </w:r>
      <w:r w:rsidRPr="00CB337C">
        <w:rPr>
          <w:rFonts w:cstheme="minorHAnsi"/>
          <w:i/>
        </w:rPr>
        <w:t>The European Higher Education Area in 2018: Bologna process implementation report</w:t>
      </w:r>
      <w:r w:rsidRPr="00CB337C">
        <w:rPr>
          <w:rFonts w:cstheme="minorHAnsi"/>
        </w:rPr>
        <w:t xml:space="preserve">, Luxembourg: Publications Office of the European Union </w:t>
      </w:r>
    </w:p>
    <w:p w14:paraId="2719DC8C" w14:textId="77777777" w:rsidR="002A4917" w:rsidRPr="00CB337C" w:rsidRDefault="002A4917" w:rsidP="00CB337C">
      <w:pPr>
        <w:spacing w:line="360" w:lineRule="auto"/>
        <w:jc w:val="both"/>
        <w:rPr>
          <w:rFonts w:cstheme="minorHAnsi"/>
        </w:rPr>
      </w:pPr>
      <w:proofErr w:type="spellStart"/>
      <w:r w:rsidRPr="00CB337C">
        <w:rPr>
          <w:rFonts w:cstheme="minorHAnsi"/>
        </w:rPr>
        <w:t>Eurofound</w:t>
      </w:r>
      <w:proofErr w:type="spellEnd"/>
      <w:r w:rsidRPr="00CB337C">
        <w:rPr>
          <w:rFonts w:cstheme="minorHAnsi"/>
        </w:rPr>
        <w:t xml:space="preserve"> (2020), </w:t>
      </w:r>
      <w:r w:rsidRPr="00CB337C">
        <w:rPr>
          <w:rFonts w:cstheme="minorHAnsi"/>
          <w:i/>
          <w:iCs/>
        </w:rPr>
        <w:t>Living and Working in Europe</w:t>
      </w:r>
      <w:r w:rsidRPr="00CB337C">
        <w:rPr>
          <w:rFonts w:cstheme="minorHAnsi"/>
        </w:rPr>
        <w:t>, Luxembourg: Publications Office of the European Union</w:t>
      </w:r>
    </w:p>
    <w:p w14:paraId="262EC007" w14:textId="77777777" w:rsidR="00DF3151" w:rsidRPr="00CB337C" w:rsidRDefault="00DF3151" w:rsidP="00CB337C">
      <w:pPr>
        <w:spacing w:line="360" w:lineRule="auto"/>
        <w:jc w:val="both"/>
        <w:rPr>
          <w:rFonts w:cstheme="minorHAnsi"/>
        </w:rPr>
      </w:pPr>
      <w:r w:rsidRPr="00CB337C">
        <w:rPr>
          <w:rFonts w:cstheme="minorHAnsi"/>
        </w:rPr>
        <w:t xml:space="preserve">Eurostat (2015), </w:t>
      </w:r>
      <w:r w:rsidRPr="00CB337C">
        <w:rPr>
          <w:rFonts w:cstheme="minorHAnsi"/>
          <w:i/>
        </w:rPr>
        <w:t>Being Young in Europe Today</w:t>
      </w:r>
      <w:r w:rsidRPr="00CB337C">
        <w:rPr>
          <w:rFonts w:cstheme="minorHAnsi"/>
        </w:rPr>
        <w:t>, Luxembourg: Publications Office of the European Union</w:t>
      </w:r>
    </w:p>
    <w:p w14:paraId="6A8985DC" w14:textId="77777777" w:rsidR="00DF3151" w:rsidRPr="00CB337C" w:rsidRDefault="00DF3151" w:rsidP="00CB337C">
      <w:pPr>
        <w:spacing w:line="360" w:lineRule="auto"/>
        <w:jc w:val="both"/>
        <w:rPr>
          <w:rFonts w:cstheme="minorHAnsi"/>
        </w:rPr>
      </w:pPr>
      <w:r w:rsidRPr="00CB337C">
        <w:rPr>
          <w:rFonts w:cstheme="minorHAnsi"/>
        </w:rPr>
        <w:t xml:space="preserve">Eurostat (2017), </w:t>
      </w:r>
      <w:r w:rsidRPr="00CB337C">
        <w:rPr>
          <w:rFonts w:cstheme="minorHAnsi"/>
          <w:i/>
        </w:rPr>
        <w:t>Fertility Statistics</w:t>
      </w:r>
      <w:r w:rsidRPr="00CB337C">
        <w:rPr>
          <w:rFonts w:cstheme="minorHAnsi"/>
        </w:rPr>
        <w:t>, Luxembourg: Publications Office of the European Union</w:t>
      </w:r>
    </w:p>
    <w:p w14:paraId="18401384" w14:textId="4AA6C4F5" w:rsidR="0021436E" w:rsidRPr="00CB337C" w:rsidRDefault="0021436E" w:rsidP="00CB337C">
      <w:pPr>
        <w:pStyle w:val="Default"/>
        <w:spacing w:line="360" w:lineRule="auto"/>
        <w:jc w:val="both"/>
        <w:rPr>
          <w:rFonts w:asciiTheme="minorHAnsi" w:hAnsiTheme="minorHAnsi" w:cstheme="minorHAnsi"/>
          <w:color w:val="auto"/>
          <w:sz w:val="22"/>
          <w:szCs w:val="22"/>
        </w:rPr>
      </w:pPr>
      <w:r w:rsidRPr="00CB337C">
        <w:rPr>
          <w:rFonts w:asciiTheme="minorHAnsi" w:hAnsiTheme="minorHAnsi" w:cstheme="minorHAnsi"/>
          <w:color w:val="auto"/>
          <w:sz w:val="22"/>
          <w:szCs w:val="22"/>
        </w:rPr>
        <w:t xml:space="preserve">Government of Ireland (2019), </w:t>
      </w:r>
      <w:r w:rsidRPr="00CB337C">
        <w:rPr>
          <w:rFonts w:asciiTheme="minorHAnsi" w:hAnsiTheme="minorHAnsi" w:cstheme="minorHAnsi"/>
          <w:i/>
          <w:color w:val="auto"/>
          <w:sz w:val="22"/>
          <w:szCs w:val="22"/>
        </w:rPr>
        <w:t>Health in Ireland: Key trends 2019</w:t>
      </w:r>
      <w:r w:rsidRPr="00CB337C">
        <w:rPr>
          <w:rFonts w:asciiTheme="minorHAnsi" w:hAnsiTheme="minorHAnsi" w:cstheme="minorHAnsi"/>
          <w:color w:val="auto"/>
          <w:sz w:val="22"/>
          <w:szCs w:val="22"/>
        </w:rPr>
        <w:t>, Dublin: Department of Health</w:t>
      </w:r>
    </w:p>
    <w:p w14:paraId="50398856" w14:textId="77777777" w:rsidR="00DF3151" w:rsidRPr="00CB337C" w:rsidRDefault="00DF3151" w:rsidP="00CB337C">
      <w:pPr>
        <w:spacing w:line="360" w:lineRule="auto"/>
        <w:jc w:val="both"/>
        <w:rPr>
          <w:rFonts w:cstheme="minorHAnsi"/>
        </w:rPr>
      </w:pPr>
      <w:r w:rsidRPr="00CB337C">
        <w:rPr>
          <w:rFonts w:cstheme="minorHAnsi"/>
        </w:rPr>
        <w:lastRenderedPageBreak/>
        <w:t xml:space="preserve">Growing Up in Ireland (2017), </w:t>
      </w:r>
      <w:r w:rsidRPr="00CB337C">
        <w:rPr>
          <w:rFonts w:cstheme="minorHAnsi"/>
          <w:i/>
        </w:rPr>
        <w:t>Key Findings: Infant cohort at 7/8 years, School and learning</w:t>
      </w:r>
      <w:r w:rsidRPr="00CB337C">
        <w:rPr>
          <w:rFonts w:cstheme="minorHAnsi"/>
        </w:rPr>
        <w:t xml:space="preserve">, Dublin: ESRI </w:t>
      </w:r>
    </w:p>
    <w:p w14:paraId="3C60E480" w14:textId="77777777" w:rsidR="0043088D" w:rsidRPr="00CB337C" w:rsidRDefault="0043088D" w:rsidP="00CB337C">
      <w:pPr>
        <w:spacing w:line="360" w:lineRule="auto"/>
        <w:jc w:val="both"/>
        <w:rPr>
          <w:rFonts w:cstheme="minorHAnsi"/>
        </w:rPr>
      </w:pPr>
      <w:bookmarkStart w:id="9" w:name="_Hlk2691887"/>
      <w:r w:rsidRPr="00CB337C">
        <w:rPr>
          <w:rFonts w:cstheme="minorHAnsi"/>
        </w:rPr>
        <w:t xml:space="preserve">HEA (2017), </w:t>
      </w:r>
      <w:r w:rsidRPr="00CB337C">
        <w:rPr>
          <w:rFonts w:cstheme="minorHAnsi"/>
          <w:i/>
        </w:rPr>
        <w:t>Key Facts and Figures: Higher education 2015/16</w:t>
      </w:r>
      <w:r w:rsidRPr="00CB337C">
        <w:rPr>
          <w:rFonts w:cstheme="minorHAnsi"/>
        </w:rPr>
        <w:t xml:space="preserve">, Dublin: Higher Education Authority </w:t>
      </w:r>
    </w:p>
    <w:p w14:paraId="7B9383CC" w14:textId="5666476A" w:rsidR="00DF3151" w:rsidRPr="00CB337C" w:rsidRDefault="00DF3151" w:rsidP="00CB337C">
      <w:pPr>
        <w:spacing w:line="360" w:lineRule="auto"/>
        <w:jc w:val="both"/>
        <w:rPr>
          <w:rFonts w:cstheme="minorHAnsi"/>
        </w:rPr>
      </w:pPr>
      <w:r w:rsidRPr="00CB337C">
        <w:rPr>
          <w:rFonts w:cstheme="minorHAnsi"/>
        </w:rPr>
        <w:t xml:space="preserve">HEA (2019), </w:t>
      </w:r>
      <w:r w:rsidRPr="00CB337C">
        <w:rPr>
          <w:rFonts w:cstheme="minorHAnsi"/>
          <w:i/>
        </w:rPr>
        <w:t>Public Perceptions of Higher Education in Ireland</w:t>
      </w:r>
      <w:r w:rsidRPr="00CB337C">
        <w:rPr>
          <w:rFonts w:cstheme="minorHAnsi"/>
        </w:rPr>
        <w:t xml:space="preserve">, Dublin: Higher Education Authority / Kantar </w:t>
      </w:r>
      <w:proofErr w:type="spellStart"/>
      <w:r w:rsidRPr="00CB337C">
        <w:rPr>
          <w:rFonts w:cstheme="minorHAnsi"/>
        </w:rPr>
        <w:t>MillwardBrown</w:t>
      </w:r>
      <w:proofErr w:type="spellEnd"/>
    </w:p>
    <w:p w14:paraId="0B33A71C" w14:textId="77777777" w:rsidR="00C01181" w:rsidRPr="00CB337C" w:rsidRDefault="00C01181" w:rsidP="00CB337C">
      <w:pPr>
        <w:spacing w:line="360" w:lineRule="auto"/>
        <w:jc w:val="both"/>
        <w:rPr>
          <w:rFonts w:cstheme="minorHAnsi"/>
        </w:rPr>
      </w:pPr>
      <w:bookmarkStart w:id="10" w:name="_Hlk24044891"/>
      <w:bookmarkStart w:id="11" w:name="_Hlk61520889"/>
      <w:bookmarkEnd w:id="9"/>
      <w:r w:rsidRPr="00CB337C">
        <w:rPr>
          <w:rFonts w:cstheme="minorHAnsi"/>
        </w:rPr>
        <w:t xml:space="preserve">HEA (2019b), </w:t>
      </w:r>
      <w:r w:rsidRPr="00CB337C">
        <w:rPr>
          <w:rFonts w:cstheme="minorHAnsi"/>
          <w:i/>
        </w:rPr>
        <w:t>A Spatial and Socio-Economic Profile of Higher Education Institutions in Ireland</w:t>
      </w:r>
      <w:r w:rsidRPr="00CB337C">
        <w:rPr>
          <w:rFonts w:cstheme="minorHAnsi"/>
        </w:rPr>
        <w:t>, Dublin: Higher Education Authority</w:t>
      </w:r>
    </w:p>
    <w:bookmarkEnd w:id="10"/>
    <w:p w14:paraId="3AD3F32E" w14:textId="77777777" w:rsidR="008A530F" w:rsidRPr="00CB337C" w:rsidRDefault="008A530F" w:rsidP="00CB337C">
      <w:pPr>
        <w:spacing w:line="360" w:lineRule="auto"/>
        <w:jc w:val="both"/>
        <w:rPr>
          <w:rFonts w:cstheme="minorHAnsi"/>
        </w:rPr>
      </w:pPr>
      <w:r w:rsidRPr="00CB337C">
        <w:rPr>
          <w:rFonts w:cstheme="minorHAnsi"/>
        </w:rPr>
        <w:t xml:space="preserve">HEA (2019c), </w:t>
      </w:r>
      <w:r w:rsidRPr="00CB337C">
        <w:rPr>
          <w:rFonts w:cstheme="minorHAnsi"/>
          <w:i/>
        </w:rPr>
        <w:t>An Analysis of Labour Market Earnings for Higher Education Graduates in Their Early Careers: Graduation cohorts 2010-2017</w:t>
      </w:r>
      <w:r w:rsidRPr="00CB337C">
        <w:rPr>
          <w:rFonts w:cstheme="minorHAnsi"/>
        </w:rPr>
        <w:t>, Dublin: Higher Education Authority</w:t>
      </w:r>
    </w:p>
    <w:bookmarkEnd w:id="11"/>
    <w:p w14:paraId="68804379" w14:textId="0E670934" w:rsidR="00836BCA" w:rsidRPr="00CB337C" w:rsidRDefault="00836BCA" w:rsidP="00CB337C">
      <w:pPr>
        <w:spacing w:line="360" w:lineRule="auto"/>
        <w:jc w:val="both"/>
        <w:rPr>
          <w:rFonts w:cstheme="minorHAnsi"/>
        </w:rPr>
      </w:pPr>
      <w:proofErr w:type="spellStart"/>
      <w:r w:rsidRPr="00CB337C">
        <w:rPr>
          <w:rFonts w:cstheme="minorHAnsi"/>
        </w:rPr>
        <w:t>Indecon</w:t>
      </w:r>
      <w:proofErr w:type="spellEnd"/>
      <w:r w:rsidRPr="00CB337C">
        <w:rPr>
          <w:rFonts w:cstheme="minorHAnsi"/>
        </w:rPr>
        <w:t xml:space="preserve"> (2019), </w:t>
      </w:r>
      <w:r w:rsidRPr="00CB337C">
        <w:rPr>
          <w:rFonts w:cstheme="minorHAnsi"/>
          <w:i/>
        </w:rPr>
        <w:t>Independent Assessment of the Economic and Social Impact of Irish Universities</w:t>
      </w:r>
      <w:r w:rsidRPr="00CB337C">
        <w:rPr>
          <w:rFonts w:cstheme="minorHAnsi"/>
        </w:rPr>
        <w:t xml:space="preserve">, Dublin: </w:t>
      </w:r>
      <w:proofErr w:type="spellStart"/>
      <w:r w:rsidRPr="00CB337C">
        <w:rPr>
          <w:rFonts w:cstheme="minorHAnsi"/>
        </w:rPr>
        <w:t>Indecon</w:t>
      </w:r>
      <w:proofErr w:type="spellEnd"/>
      <w:r w:rsidRPr="00CB337C">
        <w:rPr>
          <w:rFonts w:cstheme="minorHAnsi"/>
        </w:rPr>
        <w:t xml:space="preserve"> / Irish Universities Association </w:t>
      </w:r>
    </w:p>
    <w:p w14:paraId="02DCB608" w14:textId="77777777" w:rsidR="00DF3151" w:rsidRPr="00CB337C" w:rsidRDefault="00DF3151" w:rsidP="00CB337C">
      <w:pPr>
        <w:autoSpaceDE w:val="0"/>
        <w:autoSpaceDN w:val="0"/>
        <w:adjustRightInd w:val="0"/>
        <w:spacing w:after="0" w:line="360" w:lineRule="auto"/>
        <w:jc w:val="both"/>
        <w:rPr>
          <w:rFonts w:cstheme="minorHAnsi"/>
        </w:rPr>
      </w:pPr>
      <w:r w:rsidRPr="00CB337C">
        <w:rPr>
          <w:rFonts w:cstheme="minorHAnsi"/>
        </w:rPr>
        <w:t xml:space="preserve">Kantar Millward Brown (2018), </w:t>
      </w:r>
      <w:r w:rsidRPr="00CB337C">
        <w:rPr>
          <w:rFonts w:cstheme="minorHAnsi"/>
          <w:i/>
        </w:rPr>
        <w:t>Our Faith in Institutions</w:t>
      </w:r>
      <w:r w:rsidRPr="00CB337C">
        <w:rPr>
          <w:rFonts w:cstheme="minorHAnsi"/>
        </w:rPr>
        <w:t>, Dublin: Kantar Millward Brown</w:t>
      </w:r>
    </w:p>
    <w:p w14:paraId="28053E3D" w14:textId="3BF928DD" w:rsidR="00AE6FAC" w:rsidRDefault="00AE6FAC" w:rsidP="00CB337C">
      <w:pPr>
        <w:autoSpaceDE w:val="0"/>
        <w:autoSpaceDN w:val="0"/>
        <w:adjustRightInd w:val="0"/>
        <w:spacing w:after="0" w:line="360" w:lineRule="auto"/>
        <w:jc w:val="both"/>
        <w:rPr>
          <w:rFonts w:cstheme="minorHAnsi"/>
        </w:rPr>
      </w:pPr>
      <w:bookmarkStart w:id="12" w:name="_Hlk61520866"/>
      <w:r>
        <w:rPr>
          <w:rFonts w:cstheme="minorHAnsi"/>
        </w:rPr>
        <w:t xml:space="preserve">Kara, E., </w:t>
      </w:r>
      <w:proofErr w:type="spellStart"/>
      <w:r>
        <w:rPr>
          <w:rFonts w:cstheme="minorHAnsi"/>
        </w:rPr>
        <w:t>Tonin</w:t>
      </w:r>
      <w:proofErr w:type="spellEnd"/>
      <w:r>
        <w:rPr>
          <w:rFonts w:cstheme="minorHAnsi"/>
        </w:rPr>
        <w:t xml:space="preserve">, M. &amp; </w:t>
      </w:r>
      <w:proofErr w:type="spellStart"/>
      <w:r>
        <w:rPr>
          <w:rFonts w:cstheme="minorHAnsi"/>
        </w:rPr>
        <w:t>Vlassopoulos</w:t>
      </w:r>
      <w:proofErr w:type="spellEnd"/>
      <w:r>
        <w:rPr>
          <w:rFonts w:cstheme="minorHAnsi"/>
        </w:rPr>
        <w:t xml:space="preserve">, M. (2021), “Class Size Effects in Higher Education: Differences across STEM and non-STEM fields”, </w:t>
      </w:r>
      <w:r w:rsidRPr="00AE6FAC">
        <w:rPr>
          <w:rFonts w:cstheme="minorHAnsi"/>
          <w:i/>
          <w:iCs/>
        </w:rPr>
        <w:t>Economics of Education Review</w:t>
      </w:r>
      <w:r>
        <w:rPr>
          <w:rFonts w:cstheme="minorHAnsi"/>
        </w:rPr>
        <w:t>, 82 (2021), 1-13</w:t>
      </w:r>
    </w:p>
    <w:p w14:paraId="1AA4C21A" w14:textId="1311AC22" w:rsidR="00414D20" w:rsidRPr="00CB337C" w:rsidRDefault="00414D20" w:rsidP="00CB337C">
      <w:pPr>
        <w:autoSpaceDE w:val="0"/>
        <w:autoSpaceDN w:val="0"/>
        <w:adjustRightInd w:val="0"/>
        <w:spacing w:after="0" w:line="360" w:lineRule="auto"/>
        <w:jc w:val="both"/>
        <w:rPr>
          <w:rFonts w:cstheme="minorHAnsi"/>
        </w:rPr>
      </w:pPr>
      <w:r w:rsidRPr="00CB337C">
        <w:rPr>
          <w:rFonts w:cstheme="minorHAnsi"/>
        </w:rPr>
        <w:t xml:space="preserve">Liston, M., Pigott, V., Frawley, D. &amp; Carroll, D. (2018), </w:t>
      </w:r>
      <w:r w:rsidRPr="00CB337C">
        <w:rPr>
          <w:rFonts w:cstheme="minorHAnsi"/>
          <w:i/>
        </w:rPr>
        <w:t>A Study of Progression in Irish Higher Education, 2014/15 to 2015/16</w:t>
      </w:r>
      <w:r w:rsidRPr="00CB337C">
        <w:rPr>
          <w:rFonts w:cstheme="minorHAnsi"/>
        </w:rPr>
        <w:t xml:space="preserve">, Dublin: Higher Education Authority </w:t>
      </w:r>
    </w:p>
    <w:bookmarkEnd w:id="12"/>
    <w:p w14:paraId="7C03291E" w14:textId="77777777" w:rsidR="0059735C" w:rsidRPr="00CB337C" w:rsidRDefault="0059735C" w:rsidP="00CB337C">
      <w:pPr>
        <w:spacing w:line="360" w:lineRule="auto"/>
        <w:jc w:val="both"/>
        <w:rPr>
          <w:rFonts w:cstheme="minorHAnsi"/>
        </w:rPr>
      </w:pPr>
      <w:r w:rsidRPr="00CB337C">
        <w:rPr>
          <w:rFonts w:cstheme="minorHAnsi"/>
        </w:rPr>
        <w:t xml:space="preserve">McKeown, C., </w:t>
      </w:r>
      <w:proofErr w:type="spellStart"/>
      <w:r w:rsidRPr="00CB337C">
        <w:rPr>
          <w:rFonts w:cstheme="minorHAnsi"/>
        </w:rPr>
        <w:t>Denner</w:t>
      </w:r>
      <w:proofErr w:type="spellEnd"/>
      <w:r w:rsidRPr="00CB337C">
        <w:rPr>
          <w:rFonts w:cstheme="minorHAnsi"/>
        </w:rPr>
        <w:t xml:space="preserve">, S., McAteer, S., Shiel, G., O’Keeffe, L. (2019), </w:t>
      </w:r>
      <w:r w:rsidRPr="00CB337C">
        <w:rPr>
          <w:rFonts w:cstheme="minorHAnsi"/>
          <w:i/>
        </w:rPr>
        <w:t>Learning for the Future: the performance of 15-year-olds in Ireland on reading literacy, science and mathematics in PISA 2018</w:t>
      </w:r>
      <w:r w:rsidRPr="00CB337C">
        <w:rPr>
          <w:rFonts w:cstheme="minorHAnsi"/>
        </w:rPr>
        <w:t>, Dublin: Educational Research Centre</w:t>
      </w:r>
    </w:p>
    <w:p w14:paraId="204D508C" w14:textId="77777777" w:rsidR="00B62CE4" w:rsidRPr="00CB337C" w:rsidRDefault="00B62CE4" w:rsidP="00CB337C">
      <w:pPr>
        <w:spacing w:line="360" w:lineRule="auto"/>
        <w:jc w:val="both"/>
        <w:rPr>
          <w:rFonts w:cstheme="minorHAnsi"/>
        </w:rPr>
      </w:pPr>
      <w:bookmarkStart w:id="13" w:name="_Hlk51330512"/>
      <w:r w:rsidRPr="00CB337C">
        <w:rPr>
          <w:rFonts w:cstheme="minorHAnsi"/>
        </w:rPr>
        <w:t xml:space="preserve">McNamara, E., Murphy, D., Murray, A., Smyth, E. &amp; Watson, D. (2020), </w:t>
      </w:r>
      <w:r w:rsidRPr="00CB337C">
        <w:rPr>
          <w:rFonts w:cstheme="minorHAnsi"/>
          <w:i/>
        </w:rPr>
        <w:t>The Lives of 17/18 Year Olds</w:t>
      </w:r>
      <w:r w:rsidRPr="00CB337C">
        <w:rPr>
          <w:rFonts w:cstheme="minorHAnsi"/>
        </w:rPr>
        <w:t>, Dublin: Growing Up in Ireland</w:t>
      </w:r>
    </w:p>
    <w:bookmarkEnd w:id="13"/>
    <w:p w14:paraId="085B9D12" w14:textId="77777777" w:rsidR="00DF3151" w:rsidRPr="00CB337C" w:rsidRDefault="00DF3151" w:rsidP="00CB337C">
      <w:pPr>
        <w:spacing w:line="360" w:lineRule="auto"/>
        <w:jc w:val="both"/>
        <w:rPr>
          <w:rFonts w:cstheme="minorHAnsi"/>
          <w:lang w:val="en-US"/>
        </w:rPr>
      </w:pPr>
      <w:r w:rsidRPr="00CB337C">
        <w:rPr>
          <w:rFonts w:cstheme="minorHAnsi"/>
        </w:rPr>
        <w:t xml:space="preserve">NERI (2018), </w:t>
      </w:r>
      <w:r w:rsidRPr="00CB337C">
        <w:rPr>
          <w:rFonts w:cstheme="minorHAnsi"/>
          <w:i/>
        </w:rPr>
        <w:t>Quarterly Economic Observer, Summer 2018</w:t>
      </w:r>
      <w:r w:rsidRPr="00CB337C">
        <w:rPr>
          <w:rFonts w:cstheme="minorHAnsi"/>
        </w:rPr>
        <w:t>, Dublin: Nevin Economic Research Institute</w:t>
      </w:r>
      <w:r w:rsidRPr="00CB337C">
        <w:rPr>
          <w:rFonts w:cstheme="minorHAnsi"/>
          <w:lang w:val="en-US"/>
        </w:rPr>
        <w:t xml:space="preserve"> </w:t>
      </w:r>
    </w:p>
    <w:p w14:paraId="1024E3AA" w14:textId="77777777" w:rsidR="00DF3151" w:rsidRPr="00CB337C" w:rsidRDefault="00DF3151" w:rsidP="00CB337C">
      <w:pPr>
        <w:spacing w:line="360" w:lineRule="auto"/>
        <w:jc w:val="both"/>
        <w:rPr>
          <w:rFonts w:cstheme="minorHAnsi"/>
        </w:rPr>
      </w:pPr>
      <w:r w:rsidRPr="00CB337C">
        <w:rPr>
          <w:rFonts w:cstheme="minorHAnsi"/>
        </w:rPr>
        <w:t xml:space="preserve">OECD (2013), </w:t>
      </w:r>
      <w:r w:rsidRPr="00CB337C">
        <w:rPr>
          <w:rFonts w:cstheme="minorHAnsi"/>
          <w:i/>
        </w:rPr>
        <w:t xml:space="preserve">Education </w:t>
      </w:r>
      <w:proofErr w:type="gramStart"/>
      <w:r w:rsidRPr="00CB337C">
        <w:rPr>
          <w:rFonts w:cstheme="minorHAnsi"/>
          <w:i/>
        </w:rPr>
        <w:t>at a Glance</w:t>
      </w:r>
      <w:proofErr w:type="gramEnd"/>
      <w:r w:rsidRPr="00CB337C">
        <w:rPr>
          <w:rFonts w:cstheme="minorHAnsi"/>
          <w:i/>
        </w:rPr>
        <w:t xml:space="preserve"> 2013</w:t>
      </w:r>
      <w:r w:rsidRPr="00CB337C">
        <w:rPr>
          <w:rFonts w:cstheme="minorHAnsi"/>
        </w:rPr>
        <w:t>, Paris: OECD Publishing</w:t>
      </w:r>
    </w:p>
    <w:p w14:paraId="723E9E89" w14:textId="77777777" w:rsidR="00DF3151" w:rsidRPr="00CB337C" w:rsidRDefault="00DF3151" w:rsidP="00CB337C">
      <w:pPr>
        <w:spacing w:line="360" w:lineRule="auto"/>
        <w:jc w:val="both"/>
        <w:rPr>
          <w:rFonts w:cstheme="minorHAnsi"/>
        </w:rPr>
      </w:pPr>
      <w:r w:rsidRPr="00CB337C">
        <w:rPr>
          <w:rFonts w:cstheme="minorHAnsi"/>
        </w:rPr>
        <w:t xml:space="preserve">OECD (2015a), </w:t>
      </w:r>
      <w:r w:rsidRPr="00CB337C">
        <w:rPr>
          <w:rFonts w:cstheme="minorHAnsi"/>
          <w:i/>
        </w:rPr>
        <w:t xml:space="preserve">Government </w:t>
      </w:r>
      <w:proofErr w:type="gramStart"/>
      <w:r w:rsidRPr="00CB337C">
        <w:rPr>
          <w:rFonts w:cstheme="minorHAnsi"/>
          <w:i/>
        </w:rPr>
        <w:t>at a Glance</w:t>
      </w:r>
      <w:proofErr w:type="gramEnd"/>
      <w:r w:rsidRPr="00CB337C">
        <w:rPr>
          <w:rFonts w:cstheme="minorHAnsi"/>
          <w:i/>
        </w:rPr>
        <w:t xml:space="preserve"> 2015</w:t>
      </w:r>
      <w:r w:rsidRPr="00CB337C">
        <w:rPr>
          <w:rFonts w:cstheme="minorHAnsi"/>
        </w:rPr>
        <w:t>, Paris: OECD Publishing</w:t>
      </w:r>
    </w:p>
    <w:p w14:paraId="6754ED4C" w14:textId="77777777" w:rsidR="00DF3151" w:rsidRPr="00CB337C" w:rsidRDefault="00DF3151" w:rsidP="00CB337C">
      <w:pPr>
        <w:spacing w:line="360" w:lineRule="auto"/>
        <w:jc w:val="both"/>
        <w:rPr>
          <w:rFonts w:cstheme="minorHAnsi"/>
        </w:rPr>
      </w:pPr>
      <w:r w:rsidRPr="00CB337C">
        <w:rPr>
          <w:rFonts w:cstheme="minorHAnsi"/>
        </w:rPr>
        <w:t xml:space="preserve">OECD (2015b), </w:t>
      </w:r>
      <w:r w:rsidRPr="00CB337C">
        <w:rPr>
          <w:rFonts w:cstheme="minorHAnsi"/>
          <w:i/>
        </w:rPr>
        <w:t xml:space="preserve">Education </w:t>
      </w:r>
      <w:proofErr w:type="gramStart"/>
      <w:r w:rsidRPr="00CB337C">
        <w:rPr>
          <w:rFonts w:cstheme="minorHAnsi"/>
          <w:i/>
        </w:rPr>
        <w:t>at a Glance</w:t>
      </w:r>
      <w:proofErr w:type="gramEnd"/>
      <w:r w:rsidRPr="00CB337C">
        <w:rPr>
          <w:rFonts w:cstheme="minorHAnsi"/>
          <w:i/>
        </w:rPr>
        <w:t xml:space="preserve"> 2015</w:t>
      </w:r>
      <w:r w:rsidRPr="00CB337C">
        <w:rPr>
          <w:rFonts w:cstheme="minorHAnsi"/>
        </w:rPr>
        <w:t>, Paris: OECD Publishing</w:t>
      </w:r>
    </w:p>
    <w:p w14:paraId="3487411B" w14:textId="77777777" w:rsidR="00DF3151" w:rsidRPr="00CB337C" w:rsidRDefault="00DF3151" w:rsidP="00CB337C">
      <w:pPr>
        <w:spacing w:line="360" w:lineRule="auto"/>
        <w:jc w:val="both"/>
        <w:rPr>
          <w:rFonts w:cstheme="minorHAnsi"/>
        </w:rPr>
      </w:pPr>
      <w:r w:rsidRPr="00CB337C">
        <w:rPr>
          <w:rFonts w:cstheme="minorHAnsi"/>
        </w:rPr>
        <w:t xml:space="preserve">OECD (2019a), </w:t>
      </w:r>
      <w:r w:rsidRPr="00CB337C">
        <w:rPr>
          <w:rFonts w:cstheme="minorHAnsi"/>
          <w:i/>
        </w:rPr>
        <w:t xml:space="preserve">Education </w:t>
      </w:r>
      <w:proofErr w:type="gramStart"/>
      <w:r w:rsidRPr="00CB337C">
        <w:rPr>
          <w:rFonts w:cstheme="minorHAnsi"/>
          <w:i/>
        </w:rPr>
        <w:t>at a Glance</w:t>
      </w:r>
      <w:proofErr w:type="gramEnd"/>
      <w:r w:rsidRPr="00CB337C">
        <w:rPr>
          <w:rFonts w:cstheme="minorHAnsi"/>
          <w:i/>
        </w:rPr>
        <w:t xml:space="preserve"> 2019</w:t>
      </w:r>
      <w:r w:rsidRPr="00CB337C">
        <w:rPr>
          <w:rFonts w:cstheme="minorHAnsi"/>
        </w:rPr>
        <w:t>, Paris: OECD Publishing</w:t>
      </w:r>
    </w:p>
    <w:p w14:paraId="43D96B6C" w14:textId="77777777" w:rsidR="00DF3151" w:rsidRPr="00CB337C" w:rsidRDefault="00DF3151" w:rsidP="00CB337C">
      <w:pPr>
        <w:spacing w:line="360" w:lineRule="auto"/>
        <w:jc w:val="both"/>
        <w:rPr>
          <w:rFonts w:cstheme="minorHAnsi"/>
        </w:rPr>
      </w:pPr>
      <w:r w:rsidRPr="00CB337C">
        <w:rPr>
          <w:rFonts w:cstheme="minorHAnsi"/>
        </w:rPr>
        <w:t xml:space="preserve">OECD (2019b), </w:t>
      </w:r>
      <w:r w:rsidRPr="00CB337C">
        <w:rPr>
          <w:rFonts w:cstheme="minorHAnsi"/>
          <w:i/>
        </w:rPr>
        <w:t xml:space="preserve">Government </w:t>
      </w:r>
      <w:proofErr w:type="gramStart"/>
      <w:r w:rsidRPr="00CB337C">
        <w:rPr>
          <w:rFonts w:cstheme="minorHAnsi"/>
          <w:i/>
        </w:rPr>
        <w:t>at a Glance</w:t>
      </w:r>
      <w:proofErr w:type="gramEnd"/>
      <w:r w:rsidRPr="00CB337C">
        <w:rPr>
          <w:rFonts w:cstheme="minorHAnsi"/>
          <w:i/>
        </w:rPr>
        <w:t xml:space="preserve"> 2019</w:t>
      </w:r>
      <w:r w:rsidRPr="00CB337C">
        <w:rPr>
          <w:rFonts w:cstheme="minorHAnsi"/>
        </w:rPr>
        <w:t>, Paris: OECD Publishing</w:t>
      </w:r>
    </w:p>
    <w:p w14:paraId="06FAD412" w14:textId="0BF801EC" w:rsidR="003E48CA" w:rsidRPr="00CB337C" w:rsidRDefault="003E48CA" w:rsidP="00CB337C">
      <w:pPr>
        <w:spacing w:line="360" w:lineRule="auto"/>
        <w:jc w:val="both"/>
        <w:rPr>
          <w:rFonts w:cstheme="minorHAnsi"/>
        </w:rPr>
      </w:pPr>
      <w:r w:rsidRPr="00CB337C">
        <w:rPr>
          <w:rFonts w:cstheme="minorHAnsi"/>
        </w:rPr>
        <w:t>OECD (2020</w:t>
      </w:r>
      <w:r w:rsidR="00F229F4">
        <w:rPr>
          <w:rFonts w:cstheme="minorHAnsi"/>
        </w:rPr>
        <w:t>a</w:t>
      </w:r>
      <w:r w:rsidRPr="00CB337C">
        <w:rPr>
          <w:rFonts w:cstheme="minorHAnsi"/>
        </w:rPr>
        <w:t xml:space="preserve">), </w:t>
      </w:r>
      <w:r w:rsidRPr="00CB337C">
        <w:rPr>
          <w:rFonts w:cstheme="minorHAnsi"/>
          <w:i/>
        </w:rPr>
        <w:t>Education Policy Outlook Ireland</w:t>
      </w:r>
      <w:r w:rsidRPr="00CB337C">
        <w:rPr>
          <w:rFonts w:cstheme="minorHAnsi"/>
        </w:rPr>
        <w:t>, Paris: OECD Publishing</w:t>
      </w:r>
    </w:p>
    <w:p w14:paraId="5DFEA37C" w14:textId="7745DEA8" w:rsidR="00F229F4" w:rsidRDefault="00F229F4" w:rsidP="00CB337C">
      <w:pPr>
        <w:spacing w:line="360" w:lineRule="auto"/>
        <w:jc w:val="both"/>
        <w:rPr>
          <w:rFonts w:cstheme="minorHAnsi"/>
        </w:rPr>
      </w:pPr>
      <w:bookmarkStart w:id="14" w:name="_Hlk53495545"/>
      <w:bookmarkStart w:id="15" w:name="_Hlk61521051"/>
      <w:r w:rsidRPr="00CB337C">
        <w:rPr>
          <w:rFonts w:cstheme="minorHAnsi"/>
        </w:rPr>
        <w:t>OECD (202</w:t>
      </w:r>
      <w:r>
        <w:rPr>
          <w:rFonts w:cstheme="minorHAnsi"/>
        </w:rPr>
        <w:t>0b</w:t>
      </w:r>
      <w:r w:rsidRPr="00CB337C">
        <w:rPr>
          <w:rFonts w:cstheme="minorHAnsi"/>
        </w:rPr>
        <w:t xml:space="preserve">), </w:t>
      </w:r>
      <w:r w:rsidRPr="00CB337C">
        <w:rPr>
          <w:rFonts w:cstheme="minorHAnsi"/>
          <w:i/>
        </w:rPr>
        <w:t xml:space="preserve">Education </w:t>
      </w:r>
      <w:proofErr w:type="gramStart"/>
      <w:r w:rsidRPr="00CB337C">
        <w:rPr>
          <w:rFonts w:cstheme="minorHAnsi"/>
          <w:i/>
        </w:rPr>
        <w:t>at a Glance</w:t>
      </w:r>
      <w:proofErr w:type="gramEnd"/>
      <w:r w:rsidRPr="00CB337C">
        <w:rPr>
          <w:rFonts w:cstheme="minorHAnsi"/>
          <w:i/>
        </w:rPr>
        <w:t xml:space="preserve"> 202</w:t>
      </w:r>
      <w:r>
        <w:rPr>
          <w:rFonts w:cstheme="minorHAnsi"/>
          <w:i/>
        </w:rPr>
        <w:t>0</w:t>
      </w:r>
      <w:r w:rsidRPr="00CB337C">
        <w:rPr>
          <w:rFonts w:cstheme="minorHAnsi"/>
        </w:rPr>
        <w:t xml:space="preserve">, Paris: OECD Publishing </w:t>
      </w:r>
    </w:p>
    <w:p w14:paraId="06F8AA61" w14:textId="3A760DDD" w:rsidR="007C02A0" w:rsidRPr="00CB337C" w:rsidRDefault="007C02A0" w:rsidP="00CB337C">
      <w:pPr>
        <w:spacing w:line="360" w:lineRule="auto"/>
        <w:jc w:val="both"/>
        <w:rPr>
          <w:rFonts w:cstheme="minorHAnsi"/>
        </w:rPr>
      </w:pPr>
      <w:r w:rsidRPr="00CB337C">
        <w:rPr>
          <w:rFonts w:cstheme="minorHAnsi"/>
        </w:rPr>
        <w:lastRenderedPageBreak/>
        <w:t xml:space="preserve">OECD (2021), </w:t>
      </w:r>
      <w:r w:rsidRPr="00CB337C">
        <w:rPr>
          <w:rFonts w:cstheme="minorHAnsi"/>
          <w:i/>
        </w:rPr>
        <w:t xml:space="preserve">Education </w:t>
      </w:r>
      <w:proofErr w:type="gramStart"/>
      <w:r w:rsidRPr="00CB337C">
        <w:rPr>
          <w:rFonts w:cstheme="minorHAnsi"/>
          <w:i/>
        </w:rPr>
        <w:t>at a Glance</w:t>
      </w:r>
      <w:proofErr w:type="gramEnd"/>
      <w:r w:rsidRPr="00CB337C">
        <w:rPr>
          <w:rFonts w:cstheme="minorHAnsi"/>
          <w:i/>
        </w:rPr>
        <w:t xml:space="preserve"> 2021</w:t>
      </w:r>
      <w:r w:rsidRPr="00CB337C">
        <w:rPr>
          <w:rFonts w:cstheme="minorHAnsi"/>
        </w:rPr>
        <w:t>, Paris: OECD Publishing</w:t>
      </w:r>
    </w:p>
    <w:p w14:paraId="435F6AFA" w14:textId="77777777" w:rsidR="009900FB" w:rsidRPr="00CB337C" w:rsidRDefault="009900FB" w:rsidP="00CB337C">
      <w:pPr>
        <w:spacing w:line="360" w:lineRule="auto"/>
        <w:jc w:val="both"/>
        <w:rPr>
          <w:rFonts w:cstheme="minorHAnsi"/>
        </w:rPr>
      </w:pPr>
      <w:proofErr w:type="spellStart"/>
      <w:r w:rsidRPr="00CB337C">
        <w:rPr>
          <w:rFonts w:cstheme="minorHAnsi"/>
        </w:rPr>
        <w:t>Phulphagar</w:t>
      </w:r>
      <w:proofErr w:type="spellEnd"/>
      <w:r w:rsidRPr="00CB337C">
        <w:rPr>
          <w:rFonts w:cstheme="minorHAnsi"/>
        </w:rPr>
        <w:t xml:space="preserve">, R. &amp; Kane, F. (2020), </w:t>
      </w:r>
      <w:r w:rsidRPr="00CB337C">
        <w:rPr>
          <w:rFonts w:cstheme="minorHAnsi"/>
          <w:i/>
          <w:iCs/>
        </w:rPr>
        <w:t>Social Impact Assessment Series: Student Grants Scheme</w:t>
      </w:r>
      <w:r w:rsidRPr="00CB337C">
        <w:rPr>
          <w:rFonts w:cstheme="minorHAnsi"/>
        </w:rPr>
        <w:t>, Dublin: Government of Ireland</w:t>
      </w:r>
      <w:bookmarkEnd w:id="14"/>
      <w:r w:rsidRPr="00CB337C">
        <w:rPr>
          <w:rFonts w:cstheme="minorHAnsi"/>
        </w:rPr>
        <w:t xml:space="preserve"> </w:t>
      </w:r>
    </w:p>
    <w:bookmarkEnd w:id="15"/>
    <w:p w14:paraId="2549B97F" w14:textId="77777777" w:rsidR="00DF3151" w:rsidRPr="00CB337C" w:rsidRDefault="00DF3151" w:rsidP="00CB337C">
      <w:pPr>
        <w:autoSpaceDE w:val="0"/>
        <w:autoSpaceDN w:val="0"/>
        <w:adjustRightInd w:val="0"/>
        <w:spacing w:after="0" w:line="360" w:lineRule="auto"/>
        <w:jc w:val="both"/>
        <w:rPr>
          <w:rFonts w:cstheme="minorHAnsi"/>
        </w:rPr>
      </w:pPr>
      <w:r w:rsidRPr="00CB337C">
        <w:rPr>
          <w:rFonts w:cstheme="minorHAnsi"/>
        </w:rPr>
        <w:t xml:space="preserve">Scanlon, G. &amp; McKenna, G. (2018), </w:t>
      </w:r>
      <w:proofErr w:type="gramStart"/>
      <w:r w:rsidRPr="00CB337C">
        <w:rPr>
          <w:rFonts w:cstheme="minorHAnsi"/>
          <w:i/>
        </w:rPr>
        <w:t>Home Works</w:t>
      </w:r>
      <w:proofErr w:type="gramEnd"/>
      <w:r w:rsidRPr="00CB337C">
        <w:rPr>
          <w:rFonts w:cstheme="minorHAnsi"/>
          <w:i/>
        </w:rPr>
        <w:t>: A study on the educational needs of children experiencing homelessness and living in emergency accommodation</w:t>
      </w:r>
      <w:r w:rsidRPr="00CB337C">
        <w:rPr>
          <w:rFonts w:cstheme="minorHAnsi"/>
        </w:rPr>
        <w:t xml:space="preserve">, Dublin: Children’s Rights Alliance </w:t>
      </w:r>
    </w:p>
    <w:p w14:paraId="185E145B" w14:textId="77777777" w:rsidR="00DF3151" w:rsidRPr="00CB337C" w:rsidRDefault="00DF3151" w:rsidP="00CB337C">
      <w:pPr>
        <w:autoSpaceDE w:val="0"/>
        <w:autoSpaceDN w:val="0"/>
        <w:adjustRightInd w:val="0"/>
        <w:spacing w:after="0" w:line="360" w:lineRule="auto"/>
        <w:jc w:val="both"/>
        <w:rPr>
          <w:rFonts w:cstheme="minorHAnsi"/>
        </w:rPr>
      </w:pPr>
      <w:r w:rsidRPr="00CB337C">
        <w:rPr>
          <w:rFonts w:cstheme="minorHAnsi"/>
        </w:rPr>
        <w:t xml:space="preserve">SJI (2018), </w:t>
      </w:r>
      <w:r w:rsidRPr="00CB337C">
        <w:rPr>
          <w:rFonts w:cstheme="minorHAnsi"/>
          <w:i/>
        </w:rPr>
        <w:t>Poverty Focus 2018</w:t>
      </w:r>
      <w:r w:rsidRPr="00CB337C">
        <w:rPr>
          <w:rFonts w:cstheme="minorHAnsi"/>
        </w:rPr>
        <w:t>, Dublin: Social Justice Ireland</w:t>
      </w:r>
    </w:p>
    <w:p w14:paraId="6C3FAB04" w14:textId="77777777" w:rsidR="00DF3151" w:rsidRPr="00CB337C" w:rsidRDefault="00DF3151" w:rsidP="00CB337C">
      <w:pPr>
        <w:spacing w:line="360" w:lineRule="auto"/>
        <w:jc w:val="both"/>
        <w:rPr>
          <w:rFonts w:cstheme="minorHAnsi"/>
        </w:rPr>
      </w:pPr>
      <w:r w:rsidRPr="00CB337C">
        <w:rPr>
          <w:rFonts w:cstheme="minorHAnsi"/>
        </w:rPr>
        <w:t xml:space="preserve">Social Progress Initiative (2018), </w:t>
      </w:r>
      <w:r w:rsidRPr="00CB337C">
        <w:rPr>
          <w:rFonts w:cstheme="minorHAnsi"/>
          <w:i/>
        </w:rPr>
        <w:t>Social Progress Index 2018</w:t>
      </w:r>
      <w:r w:rsidRPr="00CB337C">
        <w:rPr>
          <w:rFonts w:cstheme="minorHAnsi"/>
        </w:rPr>
        <w:t>, Washington DC, USA: Social Progress Imperative</w:t>
      </w:r>
    </w:p>
    <w:p w14:paraId="53CC5969" w14:textId="565ACFC5" w:rsidR="00CB337C" w:rsidRPr="00CB337C" w:rsidRDefault="00CB337C" w:rsidP="00CB337C">
      <w:pPr>
        <w:spacing w:line="360" w:lineRule="auto"/>
        <w:jc w:val="both"/>
        <w:rPr>
          <w:rFonts w:cstheme="minorHAnsi"/>
        </w:rPr>
      </w:pPr>
      <w:bookmarkStart w:id="16" w:name="_Hlk1746735"/>
      <w:r w:rsidRPr="00CB337C">
        <w:rPr>
          <w:rFonts w:cstheme="minorHAnsi"/>
        </w:rPr>
        <w:t xml:space="preserve">State Examinations Commission (2018) Report on the Trialling of the Assessment of Practical Work in Leaving Certificate Biology, Chemistry and Physics retrieved May 2019 from </w:t>
      </w:r>
      <w:hyperlink r:id="rId9" w:history="1">
        <w:r w:rsidRPr="00CB337C">
          <w:rPr>
            <w:rStyle w:val="Hyperlink"/>
            <w:rFonts w:cstheme="minorHAnsi"/>
          </w:rPr>
          <w:t>https://www.examinations.ie/misc-doc/EN-AU-52990956.pd</w:t>
        </w:r>
      </w:hyperlink>
    </w:p>
    <w:p w14:paraId="6190AEFD" w14:textId="1445C612" w:rsidR="00DF3151" w:rsidRPr="00CB337C" w:rsidRDefault="00DF3151" w:rsidP="00CB337C">
      <w:pPr>
        <w:spacing w:line="360" w:lineRule="auto"/>
        <w:jc w:val="both"/>
        <w:rPr>
          <w:rFonts w:cstheme="minorHAnsi"/>
        </w:rPr>
      </w:pPr>
      <w:r w:rsidRPr="00CB337C">
        <w:rPr>
          <w:rFonts w:cstheme="minorHAnsi"/>
        </w:rPr>
        <w:t xml:space="preserve">Teaching Council (2010), </w:t>
      </w:r>
      <w:r w:rsidRPr="00CB337C">
        <w:rPr>
          <w:rFonts w:cstheme="minorHAnsi"/>
          <w:i/>
        </w:rPr>
        <w:t>Evaluation of Public Attitudes to the Teaching Profession</w:t>
      </w:r>
      <w:r w:rsidRPr="00CB337C">
        <w:rPr>
          <w:rFonts w:cstheme="minorHAnsi"/>
        </w:rPr>
        <w:t>, Maynooth: Teaching Council</w:t>
      </w:r>
    </w:p>
    <w:p w14:paraId="2F3F3C78" w14:textId="77777777" w:rsidR="008A530F" w:rsidRPr="00CB337C" w:rsidRDefault="008A530F" w:rsidP="00CB337C">
      <w:pPr>
        <w:spacing w:line="360" w:lineRule="auto"/>
        <w:jc w:val="both"/>
        <w:rPr>
          <w:rFonts w:cstheme="minorHAnsi"/>
        </w:rPr>
      </w:pPr>
      <w:bookmarkStart w:id="17" w:name="_Hlk61520953"/>
      <w:bookmarkEnd w:id="16"/>
      <w:r w:rsidRPr="00CB337C">
        <w:rPr>
          <w:rFonts w:cstheme="minorHAnsi"/>
        </w:rPr>
        <w:t xml:space="preserve">Thorn, R. (2018), </w:t>
      </w:r>
      <w:r w:rsidRPr="00CB337C">
        <w:rPr>
          <w:rFonts w:cstheme="minorHAnsi"/>
          <w:i/>
        </w:rPr>
        <w:t>No Artificial Limits: Ireland’s regional technical colleges</w:t>
      </w:r>
      <w:r w:rsidRPr="00CB337C">
        <w:rPr>
          <w:rFonts w:cstheme="minorHAnsi"/>
        </w:rPr>
        <w:t>, Dublin: Institute of Public Administration</w:t>
      </w:r>
    </w:p>
    <w:bookmarkEnd w:id="17"/>
    <w:p w14:paraId="664C8C26" w14:textId="1E30E705" w:rsidR="00374689" w:rsidRDefault="00374689" w:rsidP="00CB337C">
      <w:pPr>
        <w:spacing w:line="360" w:lineRule="auto"/>
        <w:jc w:val="both"/>
        <w:rPr>
          <w:rFonts w:cstheme="minorHAnsi"/>
        </w:rPr>
      </w:pPr>
      <w:r>
        <w:rPr>
          <w:rFonts w:cstheme="minorHAnsi"/>
        </w:rPr>
        <w:t xml:space="preserve">TUI (2018), </w:t>
      </w:r>
      <w:r w:rsidRPr="007748D4">
        <w:rPr>
          <w:rFonts w:cstheme="minorHAnsi"/>
          <w:i/>
          <w:iCs/>
        </w:rPr>
        <w:t>Submission to the Joint Oireachtas Committee on Education and Skills on the Topic of Recruitment and Retention of Teachers</w:t>
      </w:r>
      <w:r>
        <w:rPr>
          <w:rFonts w:cstheme="minorHAnsi"/>
        </w:rPr>
        <w:t>, Dublin: Teachers’ Union of Ireland</w:t>
      </w:r>
    </w:p>
    <w:p w14:paraId="5A52C1A8" w14:textId="73C84D5B" w:rsidR="00DF3151" w:rsidRPr="00CB337C" w:rsidRDefault="00DF3151" w:rsidP="00CB337C">
      <w:pPr>
        <w:spacing w:line="360" w:lineRule="auto"/>
        <w:jc w:val="both"/>
        <w:rPr>
          <w:rFonts w:cstheme="minorHAnsi"/>
        </w:rPr>
      </w:pPr>
      <w:r w:rsidRPr="00CB337C">
        <w:rPr>
          <w:rFonts w:cstheme="minorHAnsi"/>
        </w:rPr>
        <w:t xml:space="preserve">United Nations Development Programme (2018), </w:t>
      </w:r>
      <w:r w:rsidRPr="00CB337C">
        <w:rPr>
          <w:rFonts w:cstheme="minorHAnsi"/>
          <w:i/>
        </w:rPr>
        <w:t>Human Development Indices and Indicators: 2018 statistical update</w:t>
      </w:r>
      <w:r w:rsidRPr="00CB337C">
        <w:rPr>
          <w:rFonts w:cstheme="minorHAnsi"/>
        </w:rPr>
        <w:t>, New York: United Nations</w:t>
      </w:r>
    </w:p>
    <w:p w14:paraId="33DC4058" w14:textId="77777777" w:rsidR="00A86D58" w:rsidRPr="00CB337C" w:rsidRDefault="00A86D58" w:rsidP="00CB337C">
      <w:pPr>
        <w:spacing w:line="360" w:lineRule="auto"/>
        <w:jc w:val="both"/>
        <w:rPr>
          <w:rFonts w:cstheme="minorHAnsi"/>
        </w:rPr>
      </w:pPr>
      <w:r w:rsidRPr="00CB337C">
        <w:rPr>
          <w:rFonts w:cstheme="minorHAnsi"/>
        </w:rPr>
        <w:t xml:space="preserve">UNDP (2019), </w:t>
      </w:r>
      <w:r w:rsidRPr="00CB337C">
        <w:rPr>
          <w:rFonts w:cstheme="minorHAnsi"/>
          <w:i/>
        </w:rPr>
        <w:t>Human Development Report 2019</w:t>
      </w:r>
      <w:r w:rsidRPr="00CB337C">
        <w:rPr>
          <w:rFonts w:cstheme="minorHAnsi"/>
        </w:rPr>
        <w:t>, New York: United Nations Development Programme</w:t>
      </w:r>
    </w:p>
    <w:p w14:paraId="239D428B" w14:textId="77777777" w:rsidR="00DF3151" w:rsidRPr="00CB337C" w:rsidRDefault="00DF3151" w:rsidP="00CB337C">
      <w:pPr>
        <w:spacing w:line="360" w:lineRule="auto"/>
        <w:jc w:val="both"/>
        <w:rPr>
          <w:rFonts w:cstheme="minorHAnsi"/>
          <w:b/>
        </w:rPr>
      </w:pPr>
    </w:p>
    <w:sectPr w:rsidR="00DF3151" w:rsidRPr="00CB337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4AF98" w14:textId="77777777" w:rsidR="009E11A2" w:rsidRDefault="009E11A2" w:rsidP="001E5DAD">
      <w:pPr>
        <w:spacing w:after="0" w:line="240" w:lineRule="auto"/>
      </w:pPr>
      <w:r>
        <w:separator/>
      </w:r>
    </w:p>
  </w:endnote>
  <w:endnote w:type="continuationSeparator" w:id="0">
    <w:p w14:paraId="76DAD3E6" w14:textId="77777777" w:rsidR="009E11A2" w:rsidRDefault="009E11A2" w:rsidP="001E5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ndonGrotesque-Regular">
    <w:altName w:val="MS Gothic"/>
    <w:panose1 w:val="00000000000000000000"/>
    <w:charset w:val="80"/>
    <w:family w:val="swiss"/>
    <w:notTrueType/>
    <w:pitch w:val="default"/>
    <w:sig w:usb0="00000000" w:usb1="08070000" w:usb2="00000010" w:usb3="00000000" w:csb0="00020000"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246612"/>
      <w:docPartObj>
        <w:docPartGallery w:val="Page Numbers (Bottom of Page)"/>
        <w:docPartUnique/>
      </w:docPartObj>
    </w:sdtPr>
    <w:sdtEndPr>
      <w:rPr>
        <w:noProof/>
      </w:rPr>
    </w:sdtEndPr>
    <w:sdtContent>
      <w:p w14:paraId="2F698548" w14:textId="77777777" w:rsidR="005174F7" w:rsidRDefault="005174F7">
        <w:pPr>
          <w:pStyle w:val="Footer"/>
          <w:jc w:val="right"/>
        </w:pPr>
        <w:r>
          <w:fldChar w:fldCharType="begin"/>
        </w:r>
        <w:r>
          <w:instrText xml:space="preserve"> PAGE   \* MERGEFORMAT </w:instrText>
        </w:r>
        <w:r>
          <w:fldChar w:fldCharType="separate"/>
        </w:r>
        <w:r w:rsidR="00DD0EF8">
          <w:rPr>
            <w:noProof/>
          </w:rPr>
          <w:t>17</w:t>
        </w:r>
        <w:r>
          <w:rPr>
            <w:noProof/>
          </w:rPr>
          <w:fldChar w:fldCharType="end"/>
        </w:r>
      </w:p>
    </w:sdtContent>
  </w:sdt>
  <w:p w14:paraId="7E2AD526" w14:textId="77777777" w:rsidR="005174F7" w:rsidRDefault="00517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F28EE" w14:textId="77777777" w:rsidR="009E11A2" w:rsidRDefault="009E11A2" w:rsidP="001E5DAD">
      <w:pPr>
        <w:spacing w:after="0" w:line="240" w:lineRule="auto"/>
      </w:pPr>
      <w:r>
        <w:separator/>
      </w:r>
    </w:p>
  </w:footnote>
  <w:footnote w:type="continuationSeparator" w:id="0">
    <w:p w14:paraId="29EB2BA3" w14:textId="77777777" w:rsidR="009E11A2" w:rsidRDefault="009E11A2" w:rsidP="001E5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591D"/>
    <w:multiLevelType w:val="hybridMultilevel"/>
    <w:tmpl w:val="FCF4E98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B94D54"/>
    <w:multiLevelType w:val="hybridMultilevel"/>
    <w:tmpl w:val="989298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0C2E46"/>
    <w:multiLevelType w:val="hybridMultilevel"/>
    <w:tmpl w:val="E64E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E0B9D"/>
    <w:multiLevelType w:val="hybridMultilevel"/>
    <w:tmpl w:val="6B0C4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514D92"/>
    <w:multiLevelType w:val="hybridMultilevel"/>
    <w:tmpl w:val="11B4A596"/>
    <w:lvl w:ilvl="0" w:tplc="820EEC8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E499C"/>
    <w:multiLevelType w:val="hybridMultilevel"/>
    <w:tmpl w:val="54966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CE44B3F"/>
    <w:multiLevelType w:val="hybridMultilevel"/>
    <w:tmpl w:val="D9BA6F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EA239C"/>
    <w:multiLevelType w:val="hybridMultilevel"/>
    <w:tmpl w:val="9124A2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2FF71F0"/>
    <w:multiLevelType w:val="hybridMultilevel"/>
    <w:tmpl w:val="C5FA84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6572A38"/>
    <w:multiLevelType w:val="hybridMultilevel"/>
    <w:tmpl w:val="C6F2C25A"/>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AB839C6"/>
    <w:multiLevelType w:val="hybridMultilevel"/>
    <w:tmpl w:val="5AE21F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E333F42"/>
    <w:multiLevelType w:val="hybridMultilevel"/>
    <w:tmpl w:val="F8E883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60D0133"/>
    <w:multiLevelType w:val="hybridMultilevel"/>
    <w:tmpl w:val="41802A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801679D"/>
    <w:multiLevelType w:val="hybridMultilevel"/>
    <w:tmpl w:val="74C4F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98F09FF"/>
    <w:multiLevelType w:val="hybridMultilevel"/>
    <w:tmpl w:val="4FC6C5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A750065"/>
    <w:multiLevelType w:val="hybridMultilevel"/>
    <w:tmpl w:val="9AEE2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DB07314"/>
    <w:multiLevelType w:val="hybridMultilevel"/>
    <w:tmpl w:val="ED2662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47B16C2"/>
    <w:multiLevelType w:val="hybridMultilevel"/>
    <w:tmpl w:val="877C0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4E7402F"/>
    <w:multiLevelType w:val="hybridMultilevel"/>
    <w:tmpl w:val="E488F4AC"/>
    <w:lvl w:ilvl="0" w:tplc="3340888C">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62B3B96"/>
    <w:multiLevelType w:val="hybridMultilevel"/>
    <w:tmpl w:val="6CA2F170"/>
    <w:lvl w:ilvl="0" w:tplc="F88A4EE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B2A7534"/>
    <w:multiLevelType w:val="hybridMultilevel"/>
    <w:tmpl w:val="1D1ADA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E917B29"/>
    <w:multiLevelType w:val="hybridMultilevel"/>
    <w:tmpl w:val="48EE48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6880DEF"/>
    <w:multiLevelType w:val="hybridMultilevel"/>
    <w:tmpl w:val="7B40C698"/>
    <w:lvl w:ilvl="0" w:tplc="1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80F3833"/>
    <w:multiLevelType w:val="hybridMultilevel"/>
    <w:tmpl w:val="7D1C38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BDB5418"/>
    <w:multiLevelType w:val="hybridMultilevel"/>
    <w:tmpl w:val="B8F03E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FB218F8"/>
    <w:multiLevelType w:val="hybridMultilevel"/>
    <w:tmpl w:val="129642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0CC57BC"/>
    <w:multiLevelType w:val="hybridMultilevel"/>
    <w:tmpl w:val="5A12FA46"/>
    <w:lvl w:ilvl="0" w:tplc="FFFFFFFF">
      <w:start w:val="1"/>
      <w:numFmt w:val="bullet"/>
      <w:lvlText w:val="•"/>
      <w:lvlJc w:val="left"/>
    </w:lvl>
    <w:lvl w:ilvl="1" w:tplc="1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25B2104"/>
    <w:multiLevelType w:val="multilevel"/>
    <w:tmpl w:val="96EA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31080"/>
    <w:multiLevelType w:val="hybridMultilevel"/>
    <w:tmpl w:val="611AAA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7727F4A"/>
    <w:multiLevelType w:val="multilevel"/>
    <w:tmpl w:val="132A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910C87"/>
    <w:multiLevelType w:val="hybridMultilevel"/>
    <w:tmpl w:val="B25874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C29512A"/>
    <w:multiLevelType w:val="hybridMultilevel"/>
    <w:tmpl w:val="137A79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C5C71FE"/>
    <w:multiLevelType w:val="hybridMultilevel"/>
    <w:tmpl w:val="CA164A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E860FEF"/>
    <w:multiLevelType w:val="hybridMultilevel"/>
    <w:tmpl w:val="C9402A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1513130"/>
    <w:multiLevelType w:val="multilevel"/>
    <w:tmpl w:val="91AA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DC7048"/>
    <w:multiLevelType w:val="hybridMultilevel"/>
    <w:tmpl w:val="7C10ED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41709B7"/>
    <w:multiLevelType w:val="hybridMultilevel"/>
    <w:tmpl w:val="C4D005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9FF3B5D"/>
    <w:multiLevelType w:val="hybridMultilevel"/>
    <w:tmpl w:val="7EC494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273267"/>
    <w:multiLevelType w:val="hybridMultilevel"/>
    <w:tmpl w:val="A9081D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C430FCF"/>
    <w:multiLevelType w:val="hybridMultilevel"/>
    <w:tmpl w:val="6068D6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F056EA6"/>
    <w:multiLevelType w:val="hybridMultilevel"/>
    <w:tmpl w:val="3CA290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0DA1BC9"/>
    <w:multiLevelType w:val="hybridMultilevel"/>
    <w:tmpl w:val="63924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8A65536"/>
    <w:multiLevelType w:val="hybridMultilevel"/>
    <w:tmpl w:val="9B2680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8E53C6C"/>
    <w:multiLevelType w:val="hybridMultilevel"/>
    <w:tmpl w:val="8BD033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B681B13"/>
    <w:multiLevelType w:val="hybridMultilevel"/>
    <w:tmpl w:val="DA8E10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CC435E5"/>
    <w:multiLevelType w:val="hybridMultilevel"/>
    <w:tmpl w:val="8EFA94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D4B0A51"/>
    <w:multiLevelType w:val="hybridMultilevel"/>
    <w:tmpl w:val="F6441B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5"/>
  </w:num>
  <w:num w:numId="4">
    <w:abstractNumId w:val="41"/>
  </w:num>
  <w:num w:numId="5">
    <w:abstractNumId w:val="36"/>
  </w:num>
  <w:num w:numId="6">
    <w:abstractNumId w:val="3"/>
  </w:num>
  <w:num w:numId="7">
    <w:abstractNumId w:val="13"/>
  </w:num>
  <w:num w:numId="8">
    <w:abstractNumId w:val="33"/>
  </w:num>
  <w:num w:numId="9">
    <w:abstractNumId w:val="19"/>
  </w:num>
  <w:num w:numId="10">
    <w:abstractNumId w:val="4"/>
  </w:num>
  <w:num w:numId="11">
    <w:abstractNumId w:val="8"/>
  </w:num>
  <w:num w:numId="12">
    <w:abstractNumId w:val="35"/>
  </w:num>
  <w:num w:numId="13">
    <w:abstractNumId w:val="1"/>
  </w:num>
  <w:num w:numId="14">
    <w:abstractNumId w:val="37"/>
  </w:num>
  <w:num w:numId="15">
    <w:abstractNumId w:val="2"/>
  </w:num>
  <w:num w:numId="16">
    <w:abstractNumId w:val="0"/>
  </w:num>
  <w:num w:numId="17">
    <w:abstractNumId w:val="12"/>
  </w:num>
  <w:num w:numId="18">
    <w:abstractNumId w:val="6"/>
  </w:num>
  <w:num w:numId="19">
    <w:abstractNumId w:val="46"/>
  </w:num>
  <w:num w:numId="20">
    <w:abstractNumId w:val="17"/>
  </w:num>
  <w:num w:numId="21">
    <w:abstractNumId w:val="9"/>
  </w:num>
  <w:num w:numId="22">
    <w:abstractNumId w:val="23"/>
  </w:num>
  <w:num w:numId="23">
    <w:abstractNumId w:val="31"/>
  </w:num>
  <w:num w:numId="24">
    <w:abstractNumId w:val="30"/>
  </w:num>
  <w:num w:numId="25">
    <w:abstractNumId w:val="38"/>
  </w:num>
  <w:num w:numId="26">
    <w:abstractNumId w:val="24"/>
  </w:num>
  <w:num w:numId="27">
    <w:abstractNumId w:val="25"/>
  </w:num>
  <w:num w:numId="28">
    <w:abstractNumId w:val="29"/>
  </w:num>
  <w:num w:numId="29">
    <w:abstractNumId w:val="39"/>
  </w:num>
  <w:num w:numId="30">
    <w:abstractNumId w:val="26"/>
  </w:num>
  <w:num w:numId="31">
    <w:abstractNumId w:val="45"/>
  </w:num>
  <w:num w:numId="32">
    <w:abstractNumId w:val="43"/>
  </w:num>
  <w:num w:numId="33">
    <w:abstractNumId w:val="22"/>
  </w:num>
  <w:num w:numId="34">
    <w:abstractNumId w:val="11"/>
  </w:num>
  <w:num w:numId="35">
    <w:abstractNumId w:val="28"/>
  </w:num>
  <w:num w:numId="36">
    <w:abstractNumId w:val="10"/>
  </w:num>
  <w:num w:numId="37">
    <w:abstractNumId w:val="32"/>
  </w:num>
  <w:num w:numId="38">
    <w:abstractNumId w:val="21"/>
  </w:num>
  <w:num w:numId="39">
    <w:abstractNumId w:val="16"/>
  </w:num>
  <w:num w:numId="40">
    <w:abstractNumId w:val="7"/>
  </w:num>
  <w:num w:numId="41">
    <w:abstractNumId w:val="44"/>
  </w:num>
  <w:num w:numId="42">
    <w:abstractNumId w:val="40"/>
  </w:num>
  <w:num w:numId="43">
    <w:abstractNumId w:val="42"/>
  </w:num>
  <w:num w:numId="44">
    <w:abstractNumId w:val="20"/>
  </w:num>
  <w:num w:numId="45">
    <w:abstractNumId w:val="27"/>
  </w:num>
  <w:num w:numId="46">
    <w:abstractNumId w:val="18"/>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DB4"/>
    <w:rsid w:val="00001F6F"/>
    <w:rsid w:val="000026EE"/>
    <w:rsid w:val="000029AA"/>
    <w:rsid w:val="00012004"/>
    <w:rsid w:val="00014283"/>
    <w:rsid w:val="00020DB4"/>
    <w:rsid w:val="00021C7B"/>
    <w:rsid w:val="0002703A"/>
    <w:rsid w:val="00030807"/>
    <w:rsid w:val="0003484C"/>
    <w:rsid w:val="00034C2D"/>
    <w:rsid w:val="000373BB"/>
    <w:rsid w:val="00037410"/>
    <w:rsid w:val="00047681"/>
    <w:rsid w:val="000478ED"/>
    <w:rsid w:val="00056261"/>
    <w:rsid w:val="00060907"/>
    <w:rsid w:val="00061478"/>
    <w:rsid w:val="000737B9"/>
    <w:rsid w:val="000747EB"/>
    <w:rsid w:val="000761CB"/>
    <w:rsid w:val="0007629A"/>
    <w:rsid w:val="000814FF"/>
    <w:rsid w:val="00087033"/>
    <w:rsid w:val="00091563"/>
    <w:rsid w:val="0009306C"/>
    <w:rsid w:val="00095A0E"/>
    <w:rsid w:val="000B6848"/>
    <w:rsid w:val="000B6D1B"/>
    <w:rsid w:val="000B70CE"/>
    <w:rsid w:val="000C09F6"/>
    <w:rsid w:val="000C2063"/>
    <w:rsid w:val="000C4690"/>
    <w:rsid w:val="000E218D"/>
    <w:rsid w:val="000E22A7"/>
    <w:rsid w:val="000E49FC"/>
    <w:rsid w:val="000E4F4D"/>
    <w:rsid w:val="000E56EB"/>
    <w:rsid w:val="000E796B"/>
    <w:rsid w:val="000F18A5"/>
    <w:rsid w:val="000F61E9"/>
    <w:rsid w:val="001036F9"/>
    <w:rsid w:val="00103BE3"/>
    <w:rsid w:val="0010428C"/>
    <w:rsid w:val="00104EEA"/>
    <w:rsid w:val="00113A30"/>
    <w:rsid w:val="00114E08"/>
    <w:rsid w:val="00123F17"/>
    <w:rsid w:val="001267B0"/>
    <w:rsid w:val="00130A2C"/>
    <w:rsid w:val="001373E0"/>
    <w:rsid w:val="00151694"/>
    <w:rsid w:val="001542F7"/>
    <w:rsid w:val="0016203D"/>
    <w:rsid w:val="001669AD"/>
    <w:rsid w:val="001674FA"/>
    <w:rsid w:val="001676B4"/>
    <w:rsid w:val="001766F9"/>
    <w:rsid w:val="001843B1"/>
    <w:rsid w:val="0018717F"/>
    <w:rsid w:val="001903B6"/>
    <w:rsid w:val="00190FF7"/>
    <w:rsid w:val="0019362F"/>
    <w:rsid w:val="00194340"/>
    <w:rsid w:val="00196E79"/>
    <w:rsid w:val="00197292"/>
    <w:rsid w:val="001A0ED8"/>
    <w:rsid w:val="001A4CC9"/>
    <w:rsid w:val="001A5441"/>
    <w:rsid w:val="001B6F24"/>
    <w:rsid w:val="001D18D6"/>
    <w:rsid w:val="001D412D"/>
    <w:rsid w:val="001D4955"/>
    <w:rsid w:val="001E5DAD"/>
    <w:rsid w:val="001F05DA"/>
    <w:rsid w:val="001F3BFD"/>
    <w:rsid w:val="0020709E"/>
    <w:rsid w:val="00207614"/>
    <w:rsid w:val="00211C0D"/>
    <w:rsid w:val="00212907"/>
    <w:rsid w:val="0021436E"/>
    <w:rsid w:val="002203AD"/>
    <w:rsid w:val="00224E1D"/>
    <w:rsid w:val="00225F7B"/>
    <w:rsid w:val="0023272C"/>
    <w:rsid w:val="002365DE"/>
    <w:rsid w:val="00237348"/>
    <w:rsid w:val="002374A4"/>
    <w:rsid w:val="00237706"/>
    <w:rsid w:val="002428EB"/>
    <w:rsid w:val="00246EE2"/>
    <w:rsid w:val="00262A94"/>
    <w:rsid w:val="00262C9A"/>
    <w:rsid w:val="00273D34"/>
    <w:rsid w:val="00282CA3"/>
    <w:rsid w:val="0029002D"/>
    <w:rsid w:val="002A4917"/>
    <w:rsid w:val="002A569F"/>
    <w:rsid w:val="002A70E5"/>
    <w:rsid w:val="002B258C"/>
    <w:rsid w:val="002B3562"/>
    <w:rsid w:val="002B51BF"/>
    <w:rsid w:val="002C51C8"/>
    <w:rsid w:val="002D649B"/>
    <w:rsid w:val="002D6B85"/>
    <w:rsid w:val="002D6DF6"/>
    <w:rsid w:val="002E13B8"/>
    <w:rsid w:val="002E553B"/>
    <w:rsid w:val="002F03FE"/>
    <w:rsid w:val="002F2AD1"/>
    <w:rsid w:val="002F5110"/>
    <w:rsid w:val="002F6B90"/>
    <w:rsid w:val="003055E6"/>
    <w:rsid w:val="003103A8"/>
    <w:rsid w:val="00311D90"/>
    <w:rsid w:val="00322891"/>
    <w:rsid w:val="003348F4"/>
    <w:rsid w:val="003409C9"/>
    <w:rsid w:val="00342095"/>
    <w:rsid w:val="003500DD"/>
    <w:rsid w:val="003505F9"/>
    <w:rsid w:val="00364612"/>
    <w:rsid w:val="00372CB1"/>
    <w:rsid w:val="00374689"/>
    <w:rsid w:val="00381BD5"/>
    <w:rsid w:val="00383317"/>
    <w:rsid w:val="00383C04"/>
    <w:rsid w:val="003959E2"/>
    <w:rsid w:val="003A1DE4"/>
    <w:rsid w:val="003A6B0B"/>
    <w:rsid w:val="003B07B6"/>
    <w:rsid w:val="003B0F86"/>
    <w:rsid w:val="003B128D"/>
    <w:rsid w:val="003C18DB"/>
    <w:rsid w:val="003C3DC0"/>
    <w:rsid w:val="003C5065"/>
    <w:rsid w:val="003D05BB"/>
    <w:rsid w:val="003D29AE"/>
    <w:rsid w:val="003D4A25"/>
    <w:rsid w:val="003D615F"/>
    <w:rsid w:val="003D79EF"/>
    <w:rsid w:val="003E48CA"/>
    <w:rsid w:val="003E7EED"/>
    <w:rsid w:val="003F14EB"/>
    <w:rsid w:val="003F2ED9"/>
    <w:rsid w:val="003F380D"/>
    <w:rsid w:val="00401B9F"/>
    <w:rsid w:val="00404331"/>
    <w:rsid w:val="00406327"/>
    <w:rsid w:val="00406C64"/>
    <w:rsid w:val="0041104C"/>
    <w:rsid w:val="00412EB6"/>
    <w:rsid w:val="00414D20"/>
    <w:rsid w:val="00417290"/>
    <w:rsid w:val="0042135E"/>
    <w:rsid w:val="00421387"/>
    <w:rsid w:val="00425AD7"/>
    <w:rsid w:val="0043088D"/>
    <w:rsid w:val="00433CE8"/>
    <w:rsid w:val="004341CF"/>
    <w:rsid w:val="0043434D"/>
    <w:rsid w:val="00436892"/>
    <w:rsid w:val="0044056A"/>
    <w:rsid w:val="00441438"/>
    <w:rsid w:val="00444AE4"/>
    <w:rsid w:val="00472ABE"/>
    <w:rsid w:val="00472DBD"/>
    <w:rsid w:val="004849FF"/>
    <w:rsid w:val="00485D6A"/>
    <w:rsid w:val="00487B33"/>
    <w:rsid w:val="00492A36"/>
    <w:rsid w:val="004965AF"/>
    <w:rsid w:val="00496A64"/>
    <w:rsid w:val="00496F45"/>
    <w:rsid w:val="004B21D7"/>
    <w:rsid w:val="004B3052"/>
    <w:rsid w:val="004D6CBA"/>
    <w:rsid w:val="004E2163"/>
    <w:rsid w:val="004F0CBB"/>
    <w:rsid w:val="004F10DA"/>
    <w:rsid w:val="005055F6"/>
    <w:rsid w:val="00507252"/>
    <w:rsid w:val="005104D2"/>
    <w:rsid w:val="005134F0"/>
    <w:rsid w:val="005160BD"/>
    <w:rsid w:val="005174F7"/>
    <w:rsid w:val="0052098E"/>
    <w:rsid w:val="0052262E"/>
    <w:rsid w:val="00522790"/>
    <w:rsid w:val="005272FA"/>
    <w:rsid w:val="00540E21"/>
    <w:rsid w:val="005421B5"/>
    <w:rsid w:val="00544C1D"/>
    <w:rsid w:val="00547022"/>
    <w:rsid w:val="0055001B"/>
    <w:rsid w:val="00551508"/>
    <w:rsid w:val="00554298"/>
    <w:rsid w:val="0055559D"/>
    <w:rsid w:val="005663E7"/>
    <w:rsid w:val="00572042"/>
    <w:rsid w:val="00577038"/>
    <w:rsid w:val="00590DC6"/>
    <w:rsid w:val="00593319"/>
    <w:rsid w:val="00596E64"/>
    <w:rsid w:val="0059735C"/>
    <w:rsid w:val="005A1AA3"/>
    <w:rsid w:val="005A4FDC"/>
    <w:rsid w:val="005A5019"/>
    <w:rsid w:val="005B289F"/>
    <w:rsid w:val="005B6394"/>
    <w:rsid w:val="005D6C86"/>
    <w:rsid w:val="005D7EF3"/>
    <w:rsid w:val="005E23A3"/>
    <w:rsid w:val="005E3702"/>
    <w:rsid w:val="0061246E"/>
    <w:rsid w:val="00614B81"/>
    <w:rsid w:val="0061555D"/>
    <w:rsid w:val="00627F22"/>
    <w:rsid w:val="006306BB"/>
    <w:rsid w:val="00632D41"/>
    <w:rsid w:val="006475F0"/>
    <w:rsid w:val="00654CBC"/>
    <w:rsid w:val="00662449"/>
    <w:rsid w:val="00666E2F"/>
    <w:rsid w:val="0066760C"/>
    <w:rsid w:val="00671C18"/>
    <w:rsid w:val="006754E4"/>
    <w:rsid w:val="006759EE"/>
    <w:rsid w:val="00693265"/>
    <w:rsid w:val="00693A05"/>
    <w:rsid w:val="00693C7E"/>
    <w:rsid w:val="00695428"/>
    <w:rsid w:val="006956F5"/>
    <w:rsid w:val="00696401"/>
    <w:rsid w:val="0069772B"/>
    <w:rsid w:val="006B767C"/>
    <w:rsid w:val="006C2012"/>
    <w:rsid w:val="006C3BF5"/>
    <w:rsid w:val="006D5DE5"/>
    <w:rsid w:val="006E0AE7"/>
    <w:rsid w:val="006E4257"/>
    <w:rsid w:val="006E4C85"/>
    <w:rsid w:val="006F0734"/>
    <w:rsid w:val="006F2752"/>
    <w:rsid w:val="006F5036"/>
    <w:rsid w:val="006F5DF0"/>
    <w:rsid w:val="007005BB"/>
    <w:rsid w:val="0070085E"/>
    <w:rsid w:val="007024A5"/>
    <w:rsid w:val="00703ECB"/>
    <w:rsid w:val="00703FF1"/>
    <w:rsid w:val="0071123F"/>
    <w:rsid w:val="00714692"/>
    <w:rsid w:val="0071478C"/>
    <w:rsid w:val="00714E32"/>
    <w:rsid w:val="00726161"/>
    <w:rsid w:val="00740AEB"/>
    <w:rsid w:val="00742439"/>
    <w:rsid w:val="00751FE6"/>
    <w:rsid w:val="00752E1A"/>
    <w:rsid w:val="00752F55"/>
    <w:rsid w:val="007725A4"/>
    <w:rsid w:val="007748D4"/>
    <w:rsid w:val="00774CF1"/>
    <w:rsid w:val="00775B69"/>
    <w:rsid w:val="007941B9"/>
    <w:rsid w:val="007950E3"/>
    <w:rsid w:val="007972DC"/>
    <w:rsid w:val="007A01F7"/>
    <w:rsid w:val="007B42FE"/>
    <w:rsid w:val="007B4766"/>
    <w:rsid w:val="007B4A4C"/>
    <w:rsid w:val="007B68AB"/>
    <w:rsid w:val="007C02A0"/>
    <w:rsid w:val="007C6EA7"/>
    <w:rsid w:val="007D59D1"/>
    <w:rsid w:val="007D6F64"/>
    <w:rsid w:val="007D7C35"/>
    <w:rsid w:val="007D7C46"/>
    <w:rsid w:val="007D7D5B"/>
    <w:rsid w:val="007E025D"/>
    <w:rsid w:val="007E152E"/>
    <w:rsid w:val="007E2C0C"/>
    <w:rsid w:val="007E2CA8"/>
    <w:rsid w:val="007E46FA"/>
    <w:rsid w:val="007E5A75"/>
    <w:rsid w:val="007E5BC8"/>
    <w:rsid w:val="007E6BF7"/>
    <w:rsid w:val="008039C7"/>
    <w:rsid w:val="00806B87"/>
    <w:rsid w:val="008175A8"/>
    <w:rsid w:val="008260D5"/>
    <w:rsid w:val="00836BCA"/>
    <w:rsid w:val="00836D4D"/>
    <w:rsid w:val="00844B02"/>
    <w:rsid w:val="008457C5"/>
    <w:rsid w:val="00846E46"/>
    <w:rsid w:val="00852D95"/>
    <w:rsid w:val="008549CA"/>
    <w:rsid w:val="008555E9"/>
    <w:rsid w:val="00855607"/>
    <w:rsid w:val="00861287"/>
    <w:rsid w:val="00866555"/>
    <w:rsid w:val="00870E5E"/>
    <w:rsid w:val="00881BF0"/>
    <w:rsid w:val="0088751A"/>
    <w:rsid w:val="0089023E"/>
    <w:rsid w:val="00894A8B"/>
    <w:rsid w:val="00895A78"/>
    <w:rsid w:val="00896236"/>
    <w:rsid w:val="008A0246"/>
    <w:rsid w:val="008A29B6"/>
    <w:rsid w:val="008A530F"/>
    <w:rsid w:val="008B6210"/>
    <w:rsid w:val="008C1AAB"/>
    <w:rsid w:val="008C25EE"/>
    <w:rsid w:val="008C7075"/>
    <w:rsid w:val="008D3DE9"/>
    <w:rsid w:val="008D5F28"/>
    <w:rsid w:val="008E17AE"/>
    <w:rsid w:val="008E31BF"/>
    <w:rsid w:val="008F0276"/>
    <w:rsid w:val="008F5D4B"/>
    <w:rsid w:val="00905D88"/>
    <w:rsid w:val="009072E2"/>
    <w:rsid w:val="00911BE1"/>
    <w:rsid w:val="00914004"/>
    <w:rsid w:val="009204E0"/>
    <w:rsid w:val="009244B3"/>
    <w:rsid w:val="00933273"/>
    <w:rsid w:val="00951F5B"/>
    <w:rsid w:val="00960A99"/>
    <w:rsid w:val="00964FCE"/>
    <w:rsid w:val="0096518E"/>
    <w:rsid w:val="00970670"/>
    <w:rsid w:val="009833B2"/>
    <w:rsid w:val="009867A6"/>
    <w:rsid w:val="009874F0"/>
    <w:rsid w:val="009900FB"/>
    <w:rsid w:val="00990B58"/>
    <w:rsid w:val="00996DAF"/>
    <w:rsid w:val="009A07CB"/>
    <w:rsid w:val="009A44B5"/>
    <w:rsid w:val="009A454B"/>
    <w:rsid w:val="009B51AA"/>
    <w:rsid w:val="009B5314"/>
    <w:rsid w:val="009D40FE"/>
    <w:rsid w:val="009D77E5"/>
    <w:rsid w:val="009E0685"/>
    <w:rsid w:val="009E11A2"/>
    <w:rsid w:val="009E3863"/>
    <w:rsid w:val="00A02D26"/>
    <w:rsid w:val="00A12494"/>
    <w:rsid w:val="00A124EC"/>
    <w:rsid w:val="00A14C57"/>
    <w:rsid w:val="00A21D2A"/>
    <w:rsid w:val="00A23190"/>
    <w:rsid w:val="00A406EF"/>
    <w:rsid w:val="00A427DA"/>
    <w:rsid w:val="00A43DEB"/>
    <w:rsid w:val="00A45A22"/>
    <w:rsid w:val="00A560A4"/>
    <w:rsid w:val="00A60169"/>
    <w:rsid w:val="00A6616E"/>
    <w:rsid w:val="00A67B64"/>
    <w:rsid w:val="00A67C0D"/>
    <w:rsid w:val="00A71439"/>
    <w:rsid w:val="00A81D53"/>
    <w:rsid w:val="00A86514"/>
    <w:rsid w:val="00A86D58"/>
    <w:rsid w:val="00A87EC0"/>
    <w:rsid w:val="00A93302"/>
    <w:rsid w:val="00AB1F22"/>
    <w:rsid w:val="00AB30BB"/>
    <w:rsid w:val="00AC068A"/>
    <w:rsid w:val="00AC1AF9"/>
    <w:rsid w:val="00AC44B7"/>
    <w:rsid w:val="00AC49BB"/>
    <w:rsid w:val="00AC6DA7"/>
    <w:rsid w:val="00AC6FC2"/>
    <w:rsid w:val="00AD7A53"/>
    <w:rsid w:val="00AE6FAC"/>
    <w:rsid w:val="00AF2DE2"/>
    <w:rsid w:val="00AF31A1"/>
    <w:rsid w:val="00AF4C85"/>
    <w:rsid w:val="00AF632C"/>
    <w:rsid w:val="00B0086B"/>
    <w:rsid w:val="00B00A9A"/>
    <w:rsid w:val="00B041E2"/>
    <w:rsid w:val="00B24201"/>
    <w:rsid w:val="00B275A3"/>
    <w:rsid w:val="00B31A73"/>
    <w:rsid w:val="00B40FA7"/>
    <w:rsid w:val="00B42153"/>
    <w:rsid w:val="00B43BCC"/>
    <w:rsid w:val="00B45E7A"/>
    <w:rsid w:val="00B46FE1"/>
    <w:rsid w:val="00B47744"/>
    <w:rsid w:val="00B5761B"/>
    <w:rsid w:val="00B604AB"/>
    <w:rsid w:val="00B62CE4"/>
    <w:rsid w:val="00B71361"/>
    <w:rsid w:val="00B72F20"/>
    <w:rsid w:val="00B80181"/>
    <w:rsid w:val="00B805A7"/>
    <w:rsid w:val="00B832AD"/>
    <w:rsid w:val="00B965F9"/>
    <w:rsid w:val="00B97F9A"/>
    <w:rsid w:val="00BA05C8"/>
    <w:rsid w:val="00BA1AAC"/>
    <w:rsid w:val="00BB24CC"/>
    <w:rsid w:val="00BC397C"/>
    <w:rsid w:val="00BC7727"/>
    <w:rsid w:val="00BD068D"/>
    <w:rsid w:val="00BD0FAF"/>
    <w:rsid w:val="00BD16B5"/>
    <w:rsid w:val="00BD3F30"/>
    <w:rsid w:val="00BE047F"/>
    <w:rsid w:val="00BE3F22"/>
    <w:rsid w:val="00BE44E7"/>
    <w:rsid w:val="00BE5097"/>
    <w:rsid w:val="00BE5ADF"/>
    <w:rsid w:val="00BF012F"/>
    <w:rsid w:val="00BF7DBD"/>
    <w:rsid w:val="00C01181"/>
    <w:rsid w:val="00C04963"/>
    <w:rsid w:val="00C15932"/>
    <w:rsid w:val="00C2074B"/>
    <w:rsid w:val="00C20F3D"/>
    <w:rsid w:val="00C31378"/>
    <w:rsid w:val="00C4003F"/>
    <w:rsid w:val="00C42293"/>
    <w:rsid w:val="00C42B24"/>
    <w:rsid w:val="00C43B5E"/>
    <w:rsid w:val="00C5559F"/>
    <w:rsid w:val="00C570F1"/>
    <w:rsid w:val="00C62F46"/>
    <w:rsid w:val="00C75B3A"/>
    <w:rsid w:val="00C82175"/>
    <w:rsid w:val="00C82359"/>
    <w:rsid w:val="00C866CB"/>
    <w:rsid w:val="00C8791A"/>
    <w:rsid w:val="00C91E2E"/>
    <w:rsid w:val="00CA64F7"/>
    <w:rsid w:val="00CB0E55"/>
    <w:rsid w:val="00CB337C"/>
    <w:rsid w:val="00CB3A74"/>
    <w:rsid w:val="00CC2D5E"/>
    <w:rsid w:val="00CC2E33"/>
    <w:rsid w:val="00CE789D"/>
    <w:rsid w:val="00CF09DF"/>
    <w:rsid w:val="00D035B0"/>
    <w:rsid w:val="00D042DB"/>
    <w:rsid w:val="00D06190"/>
    <w:rsid w:val="00D10301"/>
    <w:rsid w:val="00D117DF"/>
    <w:rsid w:val="00D13FBE"/>
    <w:rsid w:val="00D1662A"/>
    <w:rsid w:val="00D223A8"/>
    <w:rsid w:val="00D22D32"/>
    <w:rsid w:val="00D30809"/>
    <w:rsid w:val="00D31359"/>
    <w:rsid w:val="00D317E4"/>
    <w:rsid w:val="00D42450"/>
    <w:rsid w:val="00D44FD2"/>
    <w:rsid w:val="00D5057C"/>
    <w:rsid w:val="00D5471B"/>
    <w:rsid w:val="00D54949"/>
    <w:rsid w:val="00D56152"/>
    <w:rsid w:val="00D61DEB"/>
    <w:rsid w:val="00D67347"/>
    <w:rsid w:val="00D72892"/>
    <w:rsid w:val="00D750D5"/>
    <w:rsid w:val="00D82B80"/>
    <w:rsid w:val="00D8462B"/>
    <w:rsid w:val="00D85EDF"/>
    <w:rsid w:val="00D943C0"/>
    <w:rsid w:val="00D972D5"/>
    <w:rsid w:val="00DA15C0"/>
    <w:rsid w:val="00DA62B1"/>
    <w:rsid w:val="00DB42E6"/>
    <w:rsid w:val="00DB478A"/>
    <w:rsid w:val="00DB78F2"/>
    <w:rsid w:val="00DC52A6"/>
    <w:rsid w:val="00DD0EF8"/>
    <w:rsid w:val="00DD6132"/>
    <w:rsid w:val="00DE4CD9"/>
    <w:rsid w:val="00DE796F"/>
    <w:rsid w:val="00DF3151"/>
    <w:rsid w:val="00DF3B6B"/>
    <w:rsid w:val="00E144AB"/>
    <w:rsid w:val="00E14A80"/>
    <w:rsid w:val="00E332E7"/>
    <w:rsid w:val="00E33EBD"/>
    <w:rsid w:val="00E4177A"/>
    <w:rsid w:val="00E450EB"/>
    <w:rsid w:val="00E45461"/>
    <w:rsid w:val="00E46AC7"/>
    <w:rsid w:val="00E46CA0"/>
    <w:rsid w:val="00E512CE"/>
    <w:rsid w:val="00E52BF3"/>
    <w:rsid w:val="00E556CC"/>
    <w:rsid w:val="00E63D39"/>
    <w:rsid w:val="00E70C0A"/>
    <w:rsid w:val="00E73014"/>
    <w:rsid w:val="00E7790C"/>
    <w:rsid w:val="00E844CB"/>
    <w:rsid w:val="00E8660C"/>
    <w:rsid w:val="00E86DFF"/>
    <w:rsid w:val="00E90F0F"/>
    <w:rsid w:val="00EA0D26"/>
    <w:rsid w:val="00EB31F6"/>
    <w:rsid w:val="00EB38D8"/>
    <w:rsid w:val="00EB75A4"/>
    <w:rsid w:val="00EC3D1B"/>
    <w:rsid w:val="00EC4F8A"/>
    <w:rsid w:val="00EC5BF6"/>
    <w:rsid w:val="00ED75AF"/>
    <w:rsid w:val="00EE5F15"/>
    <w:rsid w:val="00EF1D64"/>
    <w:rsid w:val="00EF6982"/>
    <w:rsid w:val="00F00375"/>
    <w:rsid w:val="00F0103A"/>
    <w:rsid w:val="00F0172A"/>
    <w:rsid w:val="00F03461"/>
    <w:rsid w:val="00F0670C"/>
    <w:rsid w:val="00F06D14"/>
    <w:rsid w:val="00F111DD"/>
    <w:rsid w:val="00F175D9"/>
    <w:rsid w:val="00F229F4"/>
    <w:rsid w:val="00F23667"/>
    <w:rsid w:val="00F2507B"/>
    <w:rsid w:val="00F25568"/>
    <w:rsid w:val="00F43294"/>
    <w:rsid w:val="00F46C7F"/>
    <w:rsid w:val="00F54A8A"/>
    <w:rsid w:val="00F56CF9"/>
    <w:rsid w:val="00F63919"/>
    <w:rsid w:val="00F71F8F"/>
    <w:rsid w:val="00F737E2"/>
    <w:rsid w:val="00F749AF"/>
    <w:rsid w:val="00F801F4"/>
    <w:rsid w:val="00F81BE4"/>
    <w:rsid w:val="00F8363C"/>
    <w:rsid w:val="00F8484A"/>
    <w:rsid w:val="00F95C41"/>
    <w:rsid w:val="00FB37BF"/>
    <w:rsid w:val="00FB5A84"/>
    <w:rsid w:val="00FC0292"/>
    <w:rsid w:val="00FC0AD0"/>
    <w:rsid w:val="00FC34CB"/>
    <w:rsid w:val="00FC5DA7"/>
    <w:rsid w:val="00FC6EF4"/>
    <w:rsid w:val="00FC73A7"/>
    <w:rsid w:val="00FC7805"/>
    <w:rsid w:val="00FD5DDB"/>
    <w:rsid w:val="00FE6A22"/>
    <w:rsid w:val="00FF5BF6"/>
    <w:rsid w:val="00FF65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9C9F3"/>
  <w15:docId w15:val="{63A2ECE8-8EEE-4F71-ABD2-5E25A30A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6E79"/>
    <w:pPr>
      <w:keepNext/>
      <w:keepLines/>
      <w:spacing w:before="480" w:after="0" w:line="240" w:lineRule="auto"/>
      <w:jc w:val="both"/>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semiHidden/>
    <w:unhideWhenUsed/>
    <w:qFormat/>
    <w:rsid w:val="00A60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60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6016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6016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273"/>
    <w:pPr>
      <w:ind w:left="720"/>
      <w:contextualSpacing/>
    </w:pPr>
  </w:style>
  <w:style w:type="paragraph" w:styleId="BalloonText">
    <w:name w:val="Balloon Text"/>
    <w:basedOn w:val="Normal"/>
    <w:link w:val="BalloonTextChar"/>
    <w:uiPriority w:val="99"/>
    <w:semiHidden/>
    <w:unhideWhenUsed/>
    <w:rsid w:val="00870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E5E"/>
    <w:rPr>
      <w:rFonts w:ascii="Segoe UI" w:hAnsi="Segoe UI" w:cs="Segoe UI"/>
      <w:sz w:val="18"/>
      <w:szCs w:val="18"/>
    </w:rPr>
  </w:style>
  <w:style w:type="paragraph" w:styleId="Header">
    <w:name w:val="header"/>
    <w:basedOn w:val="Normal"/>
    <w:link w:val="HeaderChar"/>
    <w:uiPriority w:val="99"/>
    <w:unhideWhenUsed/>
    <w:rsid w:val="001E5D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DAD"/>
  </w:style>
  <w:style w:type="paragraph" w:styleId="Footer">
    <w:name w:val="footer"/>
    <w:basedOn w:val="Normal"/>
    <w:link w:val="FooterChar"/>
    <w:uiPriority w:val="99"/>
    <w:unhideWhenUsed/>
    <w:rsid w:val="001E5D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DAD"/>
  </w:style>
  <w:style w:type="character" w:customStyle="1" w:styleId="Heading1Char">
    <w:name w:val="Heading 1 Char"/>
    <w:basedOn w:val="DefaultParagraphFont"/>
    <w:link w:val="Heading1"/>
    <w:uiPriority w:val="9"/>
    <w:rsid w:val="00196E79"/>
    <w:rPr>
      <w:rFonts w:asciiTheme="majorHAnsi" w:eastAsiaTheme="majorEastAsia" w:hAnsiTheme="majorHAnsi" w:cstheme="majorBidi"/>
      <w:b/>
      <w:bCs/>
      <w:color w:val="2C6EAB" w:themeColor="accent1" w:themeShade="B5"/>
      <w:sz w:val="32"/>
      <w:szCs w:val="32"/>
    </w:rPr>
  </w:style>
  <w:style w:type="paragraph" w:customStyle="1" w:styleId="Default">
    <w:name w:val="Default"/>
    <w:rsid w:val="004B21D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83317"/>
    <w:rPr>
      <w:color w:val="0563C1" w:themeColor="hyperlink"/>
      <w:u w:val="single"/>
    </w:rPr>
  </w:style>
  <w:style w:type="character" w:styleId="Mention">
    <w:name w:val="Mention"/>
    <w:basedOn w:val="DefaultParagraphFont"/>
    <w:uiPriority w:val="99"/>
    <w:semiHidden/>
    <w:unhideWhenUsed/>
    <w:rsid w:val="00383317"/>
    <w:rPr>
      <w:color w:val="2B579A"/>
      <w:shd w:val="clear" w:color="auto" w:fill="E6E6E6"/>
    </w:rPr>
  </w:style>
  <w:style w:type="paragraph" w:styleId="NormalWeb">
    <w:name w:val="Normal (Web)"/>
    <w:basedOn w:val="Normal"/>
    <w:uiPriority w:val="99"/>
    <w:unhideWhenUsed/>
    <w:rsid w:val="0020709E"/>
    <w:rPr>
      <w:rFonts w:ascii="Times New Roman" w:hAnsi="Times New Roman" w:cs="Times New Roman"/>
      <w:sz w:val="24"/>
      <w:szCs w:val="24"/>
    </w:rPr>
  </w:style>
  <w:style w:type="paragraph" w:customStyle="1" w:styleId="Maintext2">
    <w:name w:val="Main text2"/>
    <w:basedOn w:val="Normal"/>
    <w:link w:val="Maintext2Char"/>
    <w:qFormat/>
    <w:rsid w:val="007A01F7"/>
    <w:pPr>
      <w:spacing w:after="200" w:line="360" w:lineRule="auto"/>
      <w:jc w:val="both"/>
    </w:pPr>
    <w:rPr>
      <w:rFonts w:ascii="Times New Roman" w:eastAsiaTheme="minorEastAsia" w:hAnsi="Times New Roman" w:cs="Times New Roman"/>
      <w:sz w:val="24"/>
      <w:szCs w:val="24"/>
      <w:lang w:eastAsia="en-IE"/>
    </w:rPr>
  </w:style>
  <w:style w:type="character" w:customStyle="1" w:styleId="Maintext2Char">
    <w:name w:val="Main text2 Char"/>
    <w:basedOn w:val="DefaultParagraphFont"/>
    <w:link w:val="Maintext2"/>
    <w:rsid w:val="007A01F7"/>
    <w:rPr>
      <w:rFonts w:ascii="Times New Roman" w:eastAsiaTheme="minorEastAsia" w:hAnsi="Times New Roman" w:cs="Times New Roman"/>
      <w:sz w:val="24"/>
      <w:szCs w:val="24"/>
      <w:lang w:eastAsia="en-IE"/>
    </w:rPr>
  </w:style>
  <w:style w:type="paragraph" w:customStyle="1" w:styleId="noname">
    <w:name w:val="no_name"/>
    <w:basedOn w:val="Normal"/>
    <w:rsid w:val="00D042DB"/>
    <w:pPr>
      <w:spacing w:after="0" w:line="240" w:lineRule="auto"/>
    </w:pPr>
    <w:rPr>
      <w:rFonts w:ascii="Times New Roman" w:eastAsia="Times New Roman" w:hAnsi="Times New Roman" w:cs="Times New Roman"/>
      <w:sz w:val="24"/>
      <w:szCs w:val="24"/>
      <w:lang w:eastAsia="en-IE"/>
    </w:rPr>
  </w:style>
  <w:style w:type="table" w:styleId="TableGrid">
    <w:name w:val="Table Grid"/>
    <w:basedOn w:val="TableNormal"/>
    <w:uiPriority w:val="39"/>
    <w:rsid w:val="004F1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72892"/>
    <w:pPr>
      <w:spacing w:after="0" w:line="240" w:lineRule="auto"/>
    </w:pPr>
    <w:rPr>
      <w:rFonts w:eastAsiaTheme="minorEastAsia" w:cs="Times New Roman"/>
      <w:sz w:val="20"/>
      <w:szCs w:val="20"/>
      <w:lang w:val="en-GB"/>
    </w:rPr>
  </w:style>
  <w:style w:type="character" w:customStyle="1" w:styleId="NoSpacingChar">
    <w:name w:val="No Spacing Char"/>
    <w:basedOn w:val="DefaultParagraphFont"/>
    <w:link w:val="NoSpacing"/>
    <w:uiPriority w:val="1"/>
    <w:locked/>
    <w:rsid w:val="00D72892"/>
    <w:rPr>
      <w:rFonts w:eastAsiaTheme="minorEastAsia" w:cs="Times New Roman"/>
      <w:sz w:val="20"/>
      <w:szCs w:val="20"/>
      <w:lang w:val="en-GB"/>
    </w:rPr>
  </w:style>
  <w:style w:type="character" w:customStyle="1" w:styleId="Heading2Char">
    <w:name w:val="Heading 2 Char"/>
    <w:basedOn w:val="DefaultParagraphFont"/>
    <w:link w:val="Heading2"/>
    <w:uiPriority w:val="9"/>
    <w:semiHidden/>
    <w:rsid w:val="00A60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6016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6016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60169"/>
    <w:rPr>
      <w:rFonts w:asciiTheme="majorHAnsi" w:eastAsiaTheme="majorEastAsia" w:hAnsiTheme="majorHAnsi" w:cstheme="majorBidi"/>
      <w:color w:val="2E74B5" w:themeColor="accent1" w:themeShade="BF"/>
    </w:rPr>
  </w:style>
  <w:style w:type="paragraph" w:styleId="PlainText">
    <w:name w:val="Plain Text"/>
    <w:basedOn w:val="Normal"/>
    <w:link w:val="PlainTextChar"/>
    <w:uiPriority w:val="99"/>
    <w:unhideWhenUsed/>
    <w:rsid w:val="0096518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6518E"/>
    <w:rPr>
      <w:rFonts w:ascii="Calibri" w:hAnsi="Calibri"/>
      <w:szCs w:val="21"/>
    </w:rPr>
  </w:style>
  <w:style w:type="character" w:styleId="UnresolvedMention">
    <w:name w:val="Unresolved Mention"/>
    <w:basedOn w:val="DefaultParagraphFont"/>
    <w:uiPriority w:val="99"/>
    <w:semiHidden/>
    <w:unhideWhenUsed/>
    <w:rsid w:val="00CB3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30448">
      <w:bodyDiv w:val="1"/>
      <w:marLeft w:val="0"/>
      <w:marRight w:val="0"/>
      <w:marTop w:val="0"/>
      <w:marBottom w:val="0"/>
      <w:divBdr>
        <w:top w:val="none" w:sz="0" w:space="0" w:color="auto"/>
        <w:left w:val="none" w:sz="0" w:space="0" w:color="auto"/>
        <w:bottom w:val="none" w:sz="0" w:space="0" w:color="auto"/>
        <w:right w:val="none" w:sz="0" w:space="0" w:color="auto"/>
      </w:divBdr>
      <w:divsChild>
        <w:div w:id="18436295">
          <w:marLeft w:val="0"/>
          <w:marRight w:val="0"/>
          <w:marTop w:val="0"/>
          <w:marBottom w:val="0"/>
          <w:divBdr>
            <w:top w:val="none" w:sz="0" w:space="0" w:color="auto"/>
            <w:left w:val="none" w:sz="0" w:space="0" w:color="auto"/>
            <w:bottom w:val="none" w:sz="0" w:space="0" w:color="auto"/>
            <w:right w:val="none" w:sz="0" w:space="0" w:color="auto"/>
          </w:divBdr>
          <w:divsChild>
            <w:div w:id="1863779632">
              <w:marLeft w:val="0"/>
              <w:marRight w:val="0"/>
              <w:marTop w:val="0"/>
              <w:marBottom w:val="0"/>
              <w:divBdr>
                <w:top w:val="none" w:sz="0" w:space="0" w:color="auto"/>
                <w:left w:val="none" w:sz="0" w:space="0" w:color="auto"/>
                <w:bottom w:val="none" w:sz="0" w:space="0" w:color="auto"/>
                <w:right w:val="none" w:sz="0" w:space="0" w:color="auto"/>
              </w:divBdr>
              <w:divsChild>
                <w:div w:id="1902129128">
                  <w:marLeft w:val="0"/>
                  <w:marRight w:val="0"/>
                  <w:marTop w:val="0"/>
                  <w:marBottom w:val="0"/>
                  <w:divBdr>
                    <w:top w:val="none" w:sz="0" w:space="0" w:color="auto"/>
                    <w:left w:val="none" w:sz="0" w:space="0" w:color="auto"/>
                    <w:bottom w:val="none" w:sz="0" w:space="0" w:color="auto"/>
                    <w:right w:val="none" w:sz="0" w:space="0" w:color="auto"/>
                  </w:divBdr>
                  <w:divsChild>
                    <w:div w:id="841823368">
                      <w:marLeft w:val="0"/>
                      <w:marRight w:val="0"/>
                      <w:marTop w:val="0"/>
                      <w:marBottom w:val="0"/>
                      <w:divBdr>
                        <w:top w:val="none" w:sz="0" w:space="0" w:color="auto"/>
                        <w:left w:val="none" w:sz="0" w:space="0" w:color="auto"/>
                        <w:bottom w:val="none" w:sz="0" w:space="0" w:color="auto"/>
                        <w:right w:val="none" w:sz="0" w:space="0" w:color="auto"/>
                      </w:divBdr>
                    </w:div>
                    <w:div w:id="776367621">
                      <w:marLeft w:val="0"/>
                      <w:marRight w:val="0"/>
                      <w:marTop w:val="0"/>
                      <w:marBottom w:val="0"/>
                      <w:divBdr>
                        <w:top w:val="none" w:sz="0" w:space="0" w:color="auto"/>
                        <w:left w:val="none" w:sz="0" w:space="0" w:color="auto"/>
                        <w:bottom w:val="none" w:sz="0" w:space="0" w:color="auto"/>
                        <w:right w:val="none" w:sz="0" w:space="0" w:color="auto"/>
                      </w:divBdr>
                      <w:divsChild>
                        <w:div w:id="1442215628">
                          <w:marLeft w:val="150"/>
                          <w:marRight w:val="210"/>
                          <w:marTop w:val="0"/>
                          <w:marBottom w:val="240"/>
                          <w:divBdr>
                            <w:top w:val="single" w:sz="6" w:space="3" w:color="89B84B"/>
                            <w:left w:val="single" w:sz="6" w:space="3" w:color="89B84B"/>
                            <w:bottom w:val="single" w:sz="6" w:space="3" w:color="89B84B"/>
                            <w:right w:val="single" w:sz="6" w:space="3" w:color="89B84B"/>
                          </w:divBdr>
                        </w:div>
                      </w:divsChild>
                    </w:div>
                  </w:divsChild>
                </w:div>
                <w:div w:id="1663318023">
                  <w:marLeft w:val="0"/>
                  <w:marRight w:val="0"/>
                  <w:marTop w:val="0"/>
                  <w:marBottom w:val="0"/>
                  <w:divBdr>
                    <w:top w:val="none" w:sz="0" w:space="0" w:color="auto"/>
                    <w:left w:val="none" w:sz="0" w:space="0" w:color="auto"/>
                    <w:bottom w:val="none" w:sz="0" w:space="0" w:color="auto"/>
                    <w:right w:val="none" w:sz="0" w:space="0" w:color="auto"/>
                  </w:divBdr>
                  <w:divsChild>
                    <w:div w:id="2137982908">
                      <w:marLeft w:val="0"/>
                      <w:marRight w:val="0"/>
                      <w:marTop w:val="0"/>
                      <w:marBottom w:val="0"/>
                      <w:divBdr>
                        <w:top w:val="none" w:sz="0" w:space="0" w:color="auto"/>
                        <w:left w:val="none" w:sz="0" w:space="0" w:color="auto"/>
                        <w:bottom w:val="none" w:sz="0" w:space="0" w:color="auto"/>
                        <w:right w:val="single" w:sz="6" w:space="0" w:color="FFFFFF"/>
                      </w:divBdr>
                    </w:div>
                    <w:div w:id="965695950">
                      <w:marLeft w:val="0"/>
                      <w:marRight w:val="0"/>
                      <w:marTop w:val="0"/>
                      <w:marBottom w:val="0"/>
                      <w:divBdr>
                        <w:top w:val="none" w:sz="0" w:space="0" w:color="auto"/>
                        <w:left w:val="none" w:sz="0" w:space="0" w:color="auto"/>
                        <w:bottom w:val="none" w:sz="0" w:space="0" w:color="auto"/>
                        <w:right w:val="none" w:sz="0" w:space="0" w:color="auto"/>
                      </w:divBdr>
                    </w:div>
                  </w:divsChild>
                </w:div>
                <w:div w:id="268195735">
                  <w:marLeft w:val="0"/>
                  <w:marRight w:val="0"/>
                  <w:marTop w:val="0"/>
                  <w:marBottom w:val="0"/>
                  <w:divBdr>
                    <w:top w:val="none" w:sz="0" w:space="0" w:color="auto"/>
                    <w:left w:val="none" w:sz="0" w:space="0" w:color="auto"/>
                    <w:bottom w:val="none" w:sz="0" w:space="0" w:color="auto"/>
                    <w:right w:val="none" w:sz="0" w:space="0" w:color="auto"/>
                  </w:divBdr>
                  <w:divsChild>
                    <w:div w:id="94375347">
                      <w:marLeft w:val="0"/>
                      <w:marRight w:val="0"/>
                      <w:marTop w:val="0"/>
                      <w:marBottom w:val="0"/>
                      <w:divBdr>
                        <w:top w:val="none" w:sz="0" w:space="0" w:color="auto"/>
                        <w:left w:val="none" w:sz="0" w:space="0" w:color="auto"/>
                        <w:bottom w:val="none" w:sz="0" w:space="0" w:color="auto"/>
                        <w:right w:val="single" w:sz="6" w:space="0" w:color="FFFFFF"/>
                      </w:divBdr>
                    </w:div>
                  </w:divsChild>
                </w:div>
                <w:div w:id="143620511">
                  <w:marLeft w:val="0"/>
                  <w:marRight w:val="0"/>
                  <w:marTop w:val="0"/>
                  <w:marBottom w:val="0"/>
                  <w:divBdr>
                    <w:top w:val="none" w:sz="0" w:space="0" w:color="auto"/>
                    <w:left w:val="none" w:sz="0" w:space="0" w:color="auto"/>
                    <w:bottom w:val="none" w:sz="0" w:space="0" w:color="auto"/>
                    <w:right w:val="none" w:sz="0" w:space="0" w:color="auto"/>
                  </w:divBdr>
                  <w:divsChild>
                    <w:div w:id="1894003933">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141704619">
      <w:bodyDiv w:val="1"/>
      <w:marLeft w:val="0"/>
      <w:marRight w:val="0"/>
      <w:marTop w:val="0"/>
      <w:marBottom w:val="0"/>
      <w:divBdr>
        <w:top w:val="none" w:sz="0" w:space="0" w:color="auto"/>
        <w:left w:val="none" w:sz="0" w:space="0" w:color="auto"/>
        <w:bottom w:val="none" w:sz="0" w:space="0" w:color="auto"/>
        <w:right w:val="none" w:sz="0" w:space="0" w:color="auto"/>
      </w:divBdr>
    </w:div>
    <w:div w:id="343020832">
      <w:bodyDiv w:val="1"/>
      <w:marLeft w:val="0"/>
      <w:marRight w:val="0"/>
      <w:marTop w:val="0"/>
      <w:marBottom w:val="0"/>
      <w:divBdr>
        <w:top w:val="none" w:sz="0" w:space="0" w:color="auto"/>
        <w:left w:val="none" w:sz="0" w:space="0" w:color="auto"/>
        <w:bottom w:val="none" w:sz="0" w:space="0" w:color="auto"/>
        <w:right w:val="none" w:sz="0" w:space="0" w:color="auto"/>
      </w:divBdr>
      <w:divsChild>
        <w:div w:id="388385341">
          <w:marLeft w:val="0"/>
          <w:marRight w:val="0"/>
          <w:marTop w:val="0"/>
          <w:marBottom w:val="0"/>
          <w:divBdr>
            <w:top w:val="none" w:sz="0" w:space="0" w:color="auto"/>
            <w:left w:val="none" w:sz="0" w:space="0" w:color="auto"/>
            <w:bottom w:val="none" w:sz="0" w:space="0" w:color="auto"/>
            <w:right w:val="none" w:sz="0" w:space="0" w:color="auto"/>
          </w:divBdr>
          <w:divsChild>
            <w:div w:id="32195843">
              <w:marLeft w:val="0"/>
              <w:marRight w:val="0"/>
              <w:marTop w:val="0"/>
              <w:marBottom w:val="0"/>
              <w:divBdr>
                <w:top w:val="none" w:sz="0" w:space="0" w:color="auto"/>
                <w:left w:val="none" w:sz="0" w:space="0" w:color="auto"/>
                <w:bottom w:val="none" w:sz="0" w:space="0" w:color="auto"/>
                <w:right w:val="none" w:sz="0" w:space="0" w:color="auto"/>
              </w:divBdr>
              <w:divsChild>
                <w:div w:id="1862429784">
                  <w:marLeft w:val="0"/>
                  <w:marRight w:val="0"/>
                  <w:marTop w:val="0"/>
                  <w:marBottom w:val="0"/>
                  <w:divBdr>
                    <w:top w:val="none" w:sz="0" w:space="0" w:color="auto"/>
                    <w:left w:val="none" w:sz="0" w:space="0" w:color="auto"/>
                    <w:bottom w:val="none" w:sz="0" w:space="0" w:color="auto"/>
                    <w:right w:val="none" w:sz="0" w:space="0" w:color="auto"/>
                  </w:divBdr>
                  <w:divsChild>
                    <w:div w:id="1249190565">
                      <w:marLeft w:val="0"/>
                      <w:marRight w:val="0"/>
                      <w:marTop w:val="0"/>
                      <w:marBottom w:val="0"/>
                      <w:divBdr>
                        <w:top w:val="none" w:sz="0" w:space="0" w:color="auto"/>
                        <w:left w:val="none" w:sz="0" w:space="0" w:color="auto"/>
                        <w:bottom w:val="none" w:sz="0" w:space="0" w:color="auto"/>
                        <w:right w:val="none" w:sz="0" w:space="0" w:color="auto"/>
                      </w:divBdr>
                      <w:divsChild>
                        <w:div w:id="1574268467">
                          <w:marLeft w:val="0"/>
                          <w:marRight w:val="0"/>
                          <w:marTop w:val="0"/>
                          <w:marBottom w:val="0"/>
                          <w:divBdr>
                            <w:top w:val="none" w:sz="0" w:space="0" w:color="auto"/>
                            <w:left w:val="none" w:sz="0" w:space="0" w:color="auto"/>
                            <w:bottom w:val="none" w:sz="0" w:space="0" w:color="auto"/>
                            <w:right w:val="none" w:sz="0" w:space="0" w:color="auto"/>
                          </w:divBdr>
                          <w:divsChild>
                            <w:div w:id="1691377009">
                              <w:marLeft w:val="0"/>
                              <w:marRight w:val="0"/>
                              <w:marTop w:val="0"/>
                              <w:marBottom w:val="0"/>
                              <w:divBdr>
                                <w:top w:val="none" w:sz="0" w:space="0" w:color="auto"/>
                                <w:left w:val="none" w:sz="0" w:space="0" w:color="auto"/>
                                <w:bottom w:val="none" w:sz="0" w:space="0" w:color="auto"/>
                                <w:right w:val="none" w:sz="0" w:space="0" w:color="auto"/>
                              </w:divBdr>
                              <w:divsChild>
                                <w:div w:id="4341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319673">
      <w:bodyDiv w:val="1"/>
      <w:marLeft w:val="0"/>
      <w:marRight w:val="0"/>
      <w:marTop w:val="0"/>
      <w:marBottom w:val="0"/>
      <w:divBdr>
        <w:top w:val="none" w:sz="0" w:space="0" w:color="auto"/>
        <w:left w:val="none" w:sz="0" w:space="0" w:color="auto"/>
        <w:bottom w:val="none" w:sz="0" w:space="0" w:color="auto"/>
        <w:right w:val="none" w:sz="0" w:space="0" w:color="auto"/>
      </w:divBdr>
    </w:div>
    <w:div w:id="639069488">
      <w:bodyDiv w:val="1"/>
      <w:marLeft w:val="0"/>
      <w:marRight w:val="0"/>
      <w:marTop w:val="0"/>
      <w:marBottom w:val="0"/>
      <w:divBdr>
        <w:top w:val="none" w:sz="0" w:space="0" w:color="auto"/>
        <w:left w:val="none" w:sz="0" w:space="0" w:color="auto"/>
        <w:bottom w:val="none" w:sz="0" w:space="0" w:color="auto"/>
        <w:right w:val="none" w:sz="0" w:space="0" w:color="auto"/>
      </w:divBdr>
    </w:div>
    <w:div w:id="707144555">
      <w:bodyDiv w:val="1"/>
      <w:marLeft w:val="0"/>
      <w:marRight w:val="0"/>
      <w:marTop w:val="0"/>
      <w:marBottom w:val="0"/>
      <w:divBdr>
        <w:top w:val="none" w:sz="0" w:space="0" w:color="auto"/>
        <w:left w:val="none" w:sz="0" w:space="0" w:color="auto"/>
        <w:bottom w:val="none" w:sz="0" w:space="0" w:color="auto"/>
        <w:right w:val="none" w:sz="0" w:space="0" w:color="auto"/>
      </w:divBdr>
    </w:div>
    <w:div w:id="985671044">
      <w:bodyDiv w:val="1"/>
      <w:marLeft w:val="0"/>
      <w:marRight w:val="0"/>
      <w:marTop w:val="0"/>
      <w:marBottom w:val="0"/>
      <w:divBdr>
        <w:top w:val="none" w:sz="0" w:space="0" w:color="auto"/>
        <w:left w:val="none" w:sz="0" w:space="0" w:color="auto"/>
        <w:bottom w:val="none" w:sz="0" w:space="0" w:color="auto"/>
        <w:right w:val="none" w:sz="0" w:space="0" w:color="auto"/>
      </w:divBdr>
    </w:div>
    <w:div w:id="1445003685">
      <w:bodyDiv w:val="1"/>
      <w:marLeft w:val="0"/>
      <w:marRight w:val="0"/>
      <w:marTop w:val="0"/>
      <w:marBottom w:val="0"/>
      <w:divBdr>
        <w:top w:val="none" w:sz="0" w:space="0" w:color="auto"/>
        <w:left w:val="none" w:sz="0" w:space="0" w:color="auto"/>
        <w:bottom w:val="none" w:sz="0" w:space="0" w:color="auto"/>
        <w:right w:val="none" w:sz="0" w:space="0" w:color="auto"/>
      </w:divBdr>
    </w:div>
    <w:div w:id="156101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uffy@tui.i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xaminations.ie/misc-doc/EN-AU-52990956.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5550</Words>
  <Characters>31640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cgriffin</cp:lastModifiedBy>
  <cp:revision>2</cp:revision>
  <cp:lastPrinted>2021-12-14T14:46:00Z</cp:lastPrinted>
  <dcterms:created xsi:type="dcterms:W3CDTF">2022-01-19T11:10:00Z</dcterms:created>
  <dcterms:modified xsi:type="dcterms:W3CDTF">2022-01-19T11:10:00Z</dcterms:modified>
</cp:coreProperties>
</file>