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33BE" w14:textId="77777777" w:rsidR="00BD16B5" w:rsidRDefault="000373BB" w:rsidP="00BD16B5">
      <w:pPr>
        <w:jc w:val="center"/>
        <w:rPr>
          <w:b/>
          <w:sz w:val="32"/>
          <w:szCs w:val="32"/>
        </w:rPr>
      </w:pPr>
      <w:r w:rsidRPr="002E5D97">
        <w:rPr>
          <w:noProof/>
          <w:lang w:eastAsia="en-IE"/>
        </w:rPr>
        <w:drawing>
          <wp:inline distT="0" distB="0" distL="0" distR="0" wp14:anchorId="630E886A" wp14:editId="4A59DC3D">
            <wp:extent cx="1457325" cy="112335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176" cy="1151760"/>
                    </a:xfrm>
                    <a:prstGeom prst="rect">
                      <a:avLst/>
                    </a:prstGeom>
                  </pic:spPr>
                </pic:pic>
              </a:graphicData>
            </a:graphic>
          </wp:inline>
        </w:drawing>
      </w:r>
    </w:p>
    <w:p w14:paraId="0247CB03" w14:textId="3FF569C2" w:rsidR="00372CB1" w:rsidRPr="00AD3E4A" w:rsidRDefault="00A12494" w:rsidP="00FD4291">
      <w:pPr>
        <w:pStyle w:val="Default"/>
        <w:spacing w:line="360" w:lineRule="auto"/>
        <w:jc w:val="center"/>
        <w:rPr>
          <w:rFonts w:asciiTheme="minorHAnsi" w:hAnsiTheme="minorHAnsi" w:cstheme="minorHAnsi"/>
          <w:b/>
          <w:color w:val="auto"/>
        </w:rPr>
      </w:pPr>
      <w:r w:rsidRPr="00AD3E4A">
        <w:rPr>
          <w:rFonts w:asciiTheme="minorHAnsi" w:hAnsiTheme="minorHAnsi" w:cstheme="minorHAnsi"/>
          <w:b/>
          <w:color w:val="auto"/>
        </w:rPr>
        <w:t>Teachers’ Union of Ireland</w:t>
      </w:r>
      <w:r w:rsidR="001903B6" w:rsidRPr="00AD3E4A">
        <w:rPr>
          <w:rFonts w:asciiTheme="minorHAnsi" w:hAnsiTheme="minorHAnsi" w:cstheme="minorHAnsi"/>
          <w:b/>
          <w:color w:val="auto"/>
        </w:rPr>
        <w:t xml:space="preserve"> (TUI) </w:t>
      </w:r>
      <w:r w:rsidR="0007629A" w:rsidRPr="00AD3E4A">
        <w:rPr>
          <w:rFonts w:asciiTheme="minorHAnsi" w:hAnsiTheme="minorHAnsi" w:cstheme="minorHAnsi"/>
          <w:b/>
          <w:color w:val="auto"/>
        </w:rPr>
        <w:t>r</w:t>
      </w:r>
      <w:r w:rsidRPr="00AD3E4A">
        <w:rPr>
          <w:rFonts w:asciiTheme="minorHAnsi" w:hAnsiTheme="minorHAnsi" w:cstheme="minorHAnsi"/>
          <w:b/>
          <w:color w:val="auto"/>
        </w:rPr>
        <w:t xml:space="preserve">esponse to </w:t>
      </w:r>
      <w:r w:rsidR="00BE5ADF" w:rsidRPr="00AD3E4A">
        <w:rPr>
          <w:rFonts w:asciiTheme="minorHAnsi" w:hAnsiTheme="minorHAnsi" w:cstheme="minorHAnsi"/>
          <w:b/>
          <w:color w:val="auto"/>
        </w:rPr>
        <w:t xml:space="preserve">the </w:t>
      </w:r>
      <w:r w:rsidR="00740AEB" w:rsidRPr="00AD3E4A">
        <w:rPr>
          <w:rFonts w:asciiTheme="minorHAnsi" w:hAnsiTheme="minorHAnsi" w:cstheme="minorHAnsi"/>
          <w:b/>
          <w:color w:val="auto"/>
        </w:rPr>
        <w:t>invitation of the</w:t>
      </w:r>
    </w:p>
    <w:p w14:paraId="482CD9CA" w14:textId="4B886C99" w:rsidR="001903B6" w:rsidRPr="00AD3E4A" w:rsidRDefault="0070085E" w:rsidP="00FD4291">
      <w:pPr>
        <w:pStyle w:val="Default"/>
        <w:spacing w:line="360" w:lineRule="auto"/>
        <w:jc w:val="center"/>
        <w:rPr>
          <w:rFonts w:asciiTheme="minorHAnsi" w:hAnsiTheme="minorHAnsi" w:cstheme="minorHAnsi"/>
          <w:b/>
          <w:color w:val="auto"/>
        </w:rPr>
      </w:pPr>
      <w:r w:rsidRPr="00AD3E4A">
        <w:rPr>
          <w:rFonts w:asciiTheme="minorHAnsi" w:hAnsiTheme="minorHAnsi" w:cstheme="minorHAnsi"/>
          <w:b/>
          <w:color w:val="auto"/>
        </w:rPr>
        <w:t xml:space="preserve">Department of </w:t>
      </w:r>
      <w:r w:rsidR="006637D1">
        <w:rPr>
          <w:rFonts w:asciiTheme="minorHAnsi" w:hAnsiTheme="minorHAnsi" w:cstheme="minorHAnsi"/>
          <w:b/>
          <w:color w:val="auto"/>
        </w:rPr>
        <w:t>E</w:t>
      </w:r>
      <w:r w:rsidRPr="00AD3E4A">
        <w:rPr>
          <w:rFonts w:asciiTheme="minorHAnsi" w:hAnsiTheme="minorHAnsi" w:cstheme="minorHAnsi"/>
          <w:b/>
          <w:color w:val="auto"/>
        </w:rPr>
        <w:t>ducation</w:t>
      </w:r>
      <w:r w:rsidR="00372CB1" w:rsidRPr="00AD3E4A">
        <w:rPr>
          <w:rFonts w:asciiTheme="minorHAnsi" w:hAnsiTheme="minorHAnsi" w:cstheme="minorHAnsi"/>
          <w:b/>
          <w:color w:val="auto"/>
        </w:rPr>
        <w:t xml:space="preserve"> to make a submission</w:t>
      </w:r>
      <w:r w:rsidR="00091563" w:rsidRPr="00AD3E4A">
        <w:rPr>
          <w:rFonts w:asciiTheme="minorHAnsi" w:hAnsiTheme="minorHAnsi" w:cstheme="minorHAnsi"/>
          <w:b/>
          <w:color w:val="auto"/>
        </w:rPr>
        <w:t xml:space="preserve"> </w:t>
      </w:r>
      <w:r w:rsidRPr="00AD3E4A">
        <w:rPr>
          <w:rFonts w:asciiTheme="minorHAnsi" w:hAnsiTheme="minorHAnsi" w:cstheme="minorHAnsi"/>
          <w:b/>
          <w:color w:val="auto"/>
        </w:rPr>
        <w:t>on</w:t>
      </w:r>
      <w:r w:rsidR="00372CB1" w:rsidRPr="00AD3E4A">
        <w:rPr>
          <w:rFonts w:asciiTheme="minorHAnsi" w:hAnsiTheme="minorHAnsi" w:cstheme="minorHAnsi"/>
          <w:b/>
          <w:color w:val="auto"/>
        </w:rPr>
        <w:t xml:space="preserve"> the topic</w:t>
      </w:r>
      <w:r w:rsidRPr="00AD3E4A">
        <w:rPr>
          <w:rFonts w:asciiTheme="minorHAnsi" w:hAnsiTheme="minorHAnsi" w:cstheme="minorHAnsi"/>
          <w:b/>
          <w:color w:val="auto"/>
        </w:rPr>
        <w:t xml:space="preserve"> of</w:t>
      </w:r>
      <w:r w:rsidR="00372CB1" w:rsidRPr="00AD3E4A">
        <w:rPr>
          <w:rFonts w:asciiTheme="minorHAnsi" w:hAnsiTheme="minorHAnsi" w:cstheme="minorHAnsi"/>
          <w:b/>
          <w:color w:val="auto"/>
        </w:rPr>
        <w:t xml:space="preserve"> “</w:t>
      </w:r>
      <w:r w:rsidR="00E1372E" w:rsidRPr="00AD3E4A">
        <w:rPr>
          <w:rFonts w:asciiTheme="minorHAnsi" w:hAnsiTheme="minorHAnsi" w:cstheme="minorHAnsi"/>
          <w:b/>
          <w:i/>
          <w:iCs/>
          <w:color w:val="auto"/>
        </w:rPr>
        <w:t>Digital Strategy in Schools</w:t>
      </w:r>
      <w:r w:rsidR="00372CB1" w:rsidRPr="00AD3E4A">
        <w:rPr>
          <w:rFonts w:asciiTheme="minorHAnsi" w:hAnsiTheme="minorHAnsi" w:cstheme="minorHAnsi"/>
          <w:b/>
          <w:i/>
          <w:iCs/>
          <w:color w:val="auto"/>
        </w:rPr>
        <w:t>”.</w:t>
      </w:r>
    </w:p>
    <w:p w14:paraId="7BABE515" w14:textId="3A6982A2" w:rsidR="00A12494" w:rsidRPr="00AD3E4A" w:rsidRDefault="00A12494" w:rsidP="00FD4291">
      <w:pPr>
        <w:spacing w:line="360" w:lineRule="auto"/>
        <w:jc w:val="center"/>
        <w:rPr>
          <w:rFonts w:cstheme="minorHAnsi"/>
          <w:b/>
          <w:sz w:val="24"/>
          <w:szCs w:val="24"/>
        </w:rPr>
      </w:pPr>
      <w:r w:rsidRPr="00AD3E4A">
        <w:rPr>
          <w:rFonts w:cstheme="minorHAnsi"/>
          <w:b/>
          <w:sz w:val="24"/>
          <w:szCs w:val="24"/>
        </w:rPr>
        <w:t>(</w:t>
      </w:r>
      <w:r w:rsidR="006F0818">
        <w:rPr>
          <w:rFonts w:cstheme="minorHAnsi"/>
          <w:b/>
          <w:sz w:val="24"/>
          <w:szCs w:val="24"/>
        </w:rPr>
        <w:t>May</w:t>
      </w:r>
      <w:r w:rsidR="00666E2F" w:rsidRPr="00AD3E4A">
        <w:rPr>
          <w:rFonts w:cstheme="minorHAnsi"/>
          <w:b/>
          <w:sz w:val="24"/>
          <w:szCs w:val="24"/>
        </w:rPr>
        <w:t xml:space="preserve"> </w:t>
      </w:r>
      <w:r w:rsidR="001669AD" w:rsidRPr="00AD3E4A">
        <w:rPr>
          <w:rFonts w:cstheme="minorHAnsi"/>
          <w:b/>
          <w:sz w:val="24"/>
          <w:szCs w:val="24"/>
        </w:rPr>
        <w:t>2021</w:t>
      </w:r>
      <w:r w:rsidR="00774CF1" w:rsidRPr="00AD3E4A">
        <w:rPr>
          <w:rFonts w:cstheme="minorHAnsi"/>
          <w:b/>
          <w:sz w:val="24"/>
          <w:szCs w:val="24"/>
        </w:rPr>
        <w:t>)</w:t>
      </w:r>
    </w:p>
    <w:p w14:paraId="0C805A82" w14:textId="77777777" w:rsidR="00DF3151" w:rsidRPr="00AD3E4A" w:rsidRDefault="00DF3151" w:rsidP="00AD3E4A">
      <w:pPr>
        <w:spacing w:after="0" w:line="360" w:lineRule="auto"/>
        <w:jc w:val="both"/>
        <w:rPr>
          <w:rFonts w:cstheme="minorHAnsi"/>
          <w:b/>
          <w:sz w:val="24"/>
          <w:szCs w:val="24"/>
          <w:u w:val="single"/>
        </w:rPr>
      </w:pPr>
    </w:p>
    <w:p w14:paraId="331CD4B7" w14:textId="346B0864" w:rsidR="00DF3151" w:rsidRPr="005D177D" w:rsidRDefault="00FD4291" w:rsidP="005D177D">
      <w:pPr>
        <w:spacing w:after="0" w:line="360" w:lineRule="auto"/>
        <w:jc w:val="both"/>
        <w:rPr>
          <w:rFonts w:cstheme="minorHAnsi"/>
          <w:b/>
          <w:sz w:val="24"/>
          <w:szCs w:val="24"/>
          <w:u w:val="single"/>
        </w:rPr>
      </w:pPr>
      <w:r w:rsidRPr="005D177D">
        <w:rPr>
          <w:rFonts w:cstheme="minorHAnsi"/>
          <w:b/>
          <w:sz w:val="24"/>
          <w:szCs w:val="24"/>
          <w:u w:val="single"/>
        </w:rPr>
        <w:t>I</w:t>
      </w:r>
      <w:r w:rsidR="00DF3151" w:rsidRPr="005D177D">
        <w:rPr>
          <w:rFonts w:cstheme="minorHAnsi"/>
          <w:b/>
          <w:sz w:val="24"/>
          <w:szCs w:val="24"/>
          <w:u w:val="single"/>
        </w:rPr>
        <w:t>ntroduction</w:t>
      </w:r>
    </w:p>
    <w:p w14:paraId="74193FC0" w14:textId="6A25AFD7" w:rsidR="00DF3151" w:rsidRPr="005D177D" w:rsidRDefault="001542F7" w:rsidP="005D177D">
      <w:pPr>
        <w:spacing w:after="0" w:line="360" w:lineRule="auto"/>
        <w:jc w:val="both"/>
        <w:rPr>
          <w:rFonts w:cstheme="minorHAnsi"/>
          <w:sz w:val="24"/>
          <w:szCs w:val="24"/>
        </w:rPr>
      </w:pPr>
      <w:r w:rsidRPr="005D177D">
        <w:rPr>
          <w:rFonts w:cstheme="minorHAnsi"/>
          <w:sz w:val="24"/>
          <w:szCs w:val="24"/>
        </w:rPr>
        <w:t xml:space="preserve">The </w:t>
      </w:r>
      <w:r w:rsidR="008C1AAB" w:rsidRPr="005D177D">
        <w:rPr>
          <w:rFonts w:cstheme="minorHAnsi"/>
          <w:sz w:val="24"/>
          <w:szCs w:val="24"/>
        </w:rPr>
        <w:t>TUI represents teachers</w:t>
      </w:r>
      <w:r w:rsidRPr="005D177D">
        <w:rPr>
          <w:rFonts w:cstheme="minorHAnsi"/>
          <w:sz w:val="24"/>
          <w:szCs w:val="24"/>
        </w:rPr>
        <w:t>, l</w:t>
      </w:r>
      <w:r w:rsidR="000F61E9" w:rsidRPr="005D177D">
        <w:rPr>
          <w:rFonts w:cstheme="minorHAnsi"/>
          <w:sz w:val="24"/>
          <w:szCs w:val="24"/>
        </w:rPr>
        <w:t xml:space="preserve">ecturers and staff </w:t>
      </w:r>
      <w:r w:rsidR="00A86D58" w:rsidRPr="005D177D">
        <w:rPr>
          <w:rFonts w:cstheme="minorHAnsi"/>
          <w:sz w:val="24"/>
          <w:szCs w:val="24"/>
        </w:rPr>
        <w:t>(</w:t>
      </w:r>
      <w:r w:rsidR="005D6C86" w:rsidRPr="005D177D">
        <w:rPr>
          <w:rFonts w:cstheme="minorHAnsi"/>
          <w:sz w:val="24"/>
          <w:szCs w:val="24"/>
        </w:rPr>
        <w:t>19</w:t>
      </w:r>
      <w:r w:rsidR="00A86D58" w:rsidRPr="005D177D">
        <w:rPr>
          <w:rFonts w:cstheme="minorHAnsi"/>
          <w:sz w:val="24"/>
          <w:szCs w:val="24"/>
        </w:rPr>
        <w:t xml:space="preserve">,000+) </w:t>
      </w:r>
      <w:r w:rsidR="000F61E9" w:rsidRPr="005D177D">
        <w:rPr>
          <w:rFonts w:cstheme="minorHAnsi"/>
          <w:sz w:val="24"/>
          <w:szCs w:val="24"/>
        </w:rPr>
        <w:t xml:space="preserve">in </w:t>
      </w:r>
      <w:r w:rsidR="00433CE8" w:rsidRPr="005D177D">
        <w:rPr>
          <w:rFonts w:cstheme="minorHAnsi"/>
          <w:sz w:val="24"/>
          <w:szCs w:val="24"/>
        </w:rPr>
        <w:t xml:space="preserve">Education and Training Boards (ETBs), voluntary secondary schools, Community and Comprehensive (C&amp;C) schools, Youthreach, institutes of technology and technological universities and those working in </w:t>
      </w:r>
      <w:r w:rsidR="000F61E9" w:rsidRPr="005D177D">
        <w:rPr>
          <w:rFonts w:cstheme="minorHAnsi"/>
          <w:sz w:val="24"/>
          <w:szCs w:val="24"/>
        </w:rPr>
        <w:t>out of school services</w:t>
      </w:r>
      <w:r w:rsidR="00433CE8" w:rsidRPr="005D177D">
        <w:rPr>
          <w:rFonts w:cstheme="minorHAnsi"/>
          <w:sz w:val="24"/>
          <w:szCs w:val="24"/>
        </w:rPr>
        <w:t>.</w:t>
      </w:r>
    </w:p>
    <w:p w14:paraId="07AFAFB3" w14:textId="1C2D39CE" w:rsidR="00DF3151" w:rsidRPr="005D177D" w:rsidRDefault="00DF3151" w:rsidP="005D177D">
      <w:pPr>
        <w:spacing w:after="0" w:line="360" w:lineRule="auto"/>
        <w:jc w:val="both"/>
        <w:rPr>
          <w:rFonts w:cstheme="minorHAnsi"/>
          <w:sz w:val="24"/>
          <w:szCs w:val="24"/>
        </w:rPr>
      </w:pPr>
    </w:p>
    <w:p w14:paraId="0E0F484A" w14:textId="473DA422" w:rsidR="006637D1" w:rsidRPr="005D177D" w:rsidRDefault="006637D1" w:rsidP="005D177D">
      <w:pPr>
        <w:spacing w:after="0" w:line="360" w:lineRule="auto"/>
        <w:jc w:val="both"/>
        <w:rPr>
          <w:rFonts w:cstheme="minorHAnsi"/>
          <w:sz w:val="24"/>
          <w:szCs w:val="24"/>
        </w:rPr>
      </w:pPr>
      <w:r w:rsidRPr="005D177D">
        <w:rPr>
          <w:rFonts w:cstheme="minorHAnsi"/>
          <w:sz w:val="24"/>
          <w:szCs w:val="24"/>
        </w:rPr>
        <w:t>Investment in Information and Communications Technology (hardware, software and infrastructure) has long been inadequate.  The Covid pandemic has highlighted this but also the need to address the digital divide and the equity issues arising, as well as the need to provide CPD to teachers within work time.</w:t>
      </w:r>
    </w:p>
    <w:p w14:paraId="2197DE52" w14:textId="77777777" w:rsidR="006637D1" w:rsidRPr="005D177D" w:rsidRDefault="006637D1" w:rsidP="005D177D">
      <w:pPr>
        <w:spacing w:after="0" w:line="360" w:lineRule="auto"/>
        <w:jc w:val="both"/>
        <w:rPr>
          <w:rFonts w:cstheme="minorHAnsi"/>
          <w:sz w:val="24"/>
          <w:szCs w:val="24"/>
        </w:rPr>
      </w:pPr>
    </w:p>
    <w:p w14:paraId="00D0C482" w14:textId="77777777" w:rsidR="00DF3151" w:rsidRPr="005D177D" w:rsidRDefault="002C51C8" w:rsidP="005D177D">
      <w:pPr>
        <w:spacing w:after="0" w:line="360" w:lineRule="auto"/>
        <w:jc w:val="both"/>
        <w:rPr>
          <w:rFonts w:eastAsiaTheme="majorEastAsia" w:cstheme="minorHAnsi"/>
          <w:b/>
          <w:bCs/>
          <w:sz w:val="24"/>
          <w:szCs w:val="24"/>
          <w:u w:val="single"/>
        </w:rPr>
      </w:pPr>
      <w:r w:rsidRPr="005D177D">
        <w:rPr>
          <w:rFonts w:eastAsiaTheme="majorEastAsia" w:cstheme="minorHAnsi"/>
          <w:b/>
          <w:bCs/>
          <w:sz w:val="24"/>
          <w:szCs w:val="24"/>
          <w:u w:val="single"/>
        </w:rPr>
        <w:t>Backg</w:t>
      </w:r>
      <w:r w:rsidR="00DF3151" w:rsidRPr="005D177D">
        <w:rPr>
          <w:rFonts w:eastAsiaTheme="majorEastAsia" w:cstheme="minorHAnsi"/>
          <w:b/>
          <w:bCs/>
          <w:sz w:val="24"/>
          <w:szCs w:val="24"/>
          <w:u w:val="single"/>
        </w:rPr>
        <w:t>round</w:t>
      </w:r>
    </w:p>
    <w:p w14:paraId="640F7150" w14:textId="46BD178B" w:rsidR="00774CF1" w:rsidRPr="005D177D" w:rsidRDefault="00DF3151" w:rsidP="005D177D">
      <w:pPr>
        <w:spacing w:line="360" w:lineRule="auto"/>
        <w:jc w:val="both"/>
        <w:rPr>
          <w:rFonts w:cstheme="minorHAnsi"/>
          <w:sz w:val="24"/>
          <w:szCs w:val="24"/>
        </w:rPr>
      </w:pPr>
      <w:bookmarkStart w:id="0" w:name="_Hlk523404169"/>
      <w:r w:rsidRPr="005D177D">
        <w:rPr>
          <w:rFonts w:eastAsiaTheme="majorEastAsia" w:cstheme="minorHAnsi"/>
          <w:bCs/>
          <w:sz w:val="24"/>
          <w:szCs w:val="24"/>
        </w:rPr>
        <w:t xml:space="preserve">Ireland has an internationally acknowledged, high-performing education system and a  respected teaching profession (Teaching Council, 2010; OECD, 2013; DES, 2018a; OECD, 2015a; NAPD, 2016; Comhairle na nOg, 2017; Growing Up in Ireland, 2017; IPSOS MRBI Trust in the Professions Survey, 2017; Boyle, 2017; </w:t>
      </w:r>
      <w:r w:rsidR="00DE4CD9" w:rsidRPr="005D177D">
        <w:rPr>
          <w:rFonts w:eastAsiaTheme="majorEastAsia" w:cstheme="minorHAnsi"/>
          <w:bCs/>
          <w:sz w:val="24"/>
          <w:szCs w:val="24"/>
        </w:rPr>
        <w:t xml:space="preserve">Boyle, 2019; </w:t>
      </w:r>
      <w:r w:rsidRPr="005D177D">
        <w:rPr>
          <w:rFonts w:eastAsiaTheme="majorEastAsia" w:cstheme="minorHAnsi"/>
          <w:bCs/>
          <w:sz w:val="24"/>
          <w:szCs w:val="24"/>
        </w:rPr>
        <w:t>Scanlon &amp; McKenna, 2018;</w:t>
      </w:r>
      <w:r w:rsidRPr="005D177D">
        <w:rPr>
          <w:rFonts w:eastAsia="BrandonGrotesque-Regular" w:cstheme="minorHAnsi"/>
          <w:sz w:val="24"/>
          <w:szCs w:val="24"/>
        </w:rPr>
        <w:t xml:space="preserve"> EU Commission/EACEA/Eurydice, 2018; Kantar Millward Brown, 2018; EU Commission, 2018; EU Commission, 2019a;  EU Commission, 2019b; Social Progress Initiative, 2018; United Nations Development Programme, 2018, Irish Survey of Student Engagement 2018; HEA, 2019; Coolahan, 2017; Eivers, 2019; CSO, 2019</w:t>
      </w:r>
      <w:r w:rsidR="0059735C" w:rsidRPr="005D177D">
        <w:rPr>
          <w:rFonts w:eastAsia="BrandonGrotesque-Regular" w:cstheme="minorHAnsi"/>
          <w:sz w:val="24"/>
          <w:szCs w:val="24"/>
        </w:rPr>
        <w:t>; McKeown et al., 2019</w:t>
      </w:r>
      <w:r w:rsidR="00237348" w:rsidRPr="005D177D">
        <w:rPr>
          <w:rFonts w:eastAsia="BrandonGrotesque-Regular" w:cstheme="minorHAnsi"/>
          <w:sz w:val="24"/>
          <w:szCs w:val="24"/>
        </w:rPr>
        <w:t>; CSO, 2020</w:t>
      </w:r>
      <w:r w:rsidR="003E48CA" w:rsidRPr="005D177D">
        <w:rPr>
          <w:rFonts w:eastAsia="BrandonGrotesque-Regular" w:cstheme="minorHAnsi"/>
          <w:sz w:val="24"/>
          <w:szCs w:val="24"/>
        </w:rPr>
        <w:t>; OECD, 2020</w:t>
      </w:r>
      <w:r w:rsidR="002A4917" w:rsidRPr="005D177D">
        <w:rPr>
          <w:rFonts w:eastAsia="BrandonGrotesque-Regular" w:cstheme="minorHAnsi"/>
          <w:sz w:val="24"/>
          <w:szCs w:val="24"/>
        </w:rPr>
        <w:t>; Eurofound, 2020</w:t>
      </w:r>
      <w:r w:rsidR="00B62CE4" w:rsidRPr="005D177D">
        <w:rPr>
          <w:rFonts w:eastAsia="BrandonGrotesque-Regular" w:cstheme="minorHAnsi"/>
          <w:sz w:val="24"/>
          <w:szCs w:val="24"/>
        </w:rPr>
        <w:t>; McNamara et al., 2020</w:t>
      </w:r>
      <w:r w:rsidR="00666E2F" w:rsidRPr="005D177D">
        <w:rPr>
          <w:rFonts w:eastAsia="BrandonGrotesque-Regular" w:cstheme="minorHAnsi"/>
          <w:sz w:val="24"/>
          <w:szCs w:val="24"/>
        </w:rPr>
        <w:t>; Clark &amp; Kavanagh, 2021</w:t>
      </w:r>
      <w:r w:rsidRPr="005D177D">
        <w:rPr>
          <w:rFonts w:eastAsiaTheme="majorEastAsia" w:cstheme="minorHAnsi"/>
          <w:bCs/>
          <w:sz w:val="24"/>
          <w:szCs w:val="24"/>
        </w:rPr>
        <w:t>) despite spending relatively little on education (OECD, 2015b; SJI, 2018, NERI, 2018, OECD, 2019a</w:t>
      </w:r>
      <w:r w:rsidR="00A86D58" w:rsidRPr="005D177D">
        <w:rPr>
          <w:rFonts w:eastAsiaTheme="majorEastAsia" w:cstheme="minorHAnsi"/>
          <w:bCs/>
          <w:sz w:val="24"/>
          <w:szCs w:val="24"/>
        </w:rPr>
        <w:t>; UNDP, 2019</w:t>
      </w:r>
      <w:r w:rsidRPr="005D177D">
        <w:rPr>
          <w:rFonts w:eastAsiaTheme="majorEastAsia" w:cstheme="minorHAnsi"/>
          <w:bCs/>
          <w:sz w:val="24"/>
          <w:szCs w:val="24"/>
        </w:rPr>
        <w:t xml:space="preserve">) and </w:t>
      </w:r>
      <w:r w:rsidR="00B46FE1" w:rsidRPr="005D177D">
        <w:rPr>
          <w:rFonts w:eastAsiaTheme="majorEastAsia" w:cstheme="minorHAnsi"/>
          <w:bCs/>
          <w:sz w:val="24"/>
          <w:szCs w:val="24"/>
        </w:rPr>
        <w:lastRenderedPageBreak/>
        <w:t xml:space="preserve">experiencing </w:t>
      </w:r>
      <w:r w:rsidRPr="005D177D">
        <w:rPr>
          <w:rFonts w:eastAsiaTheme="majorEastAsia" w:cstheme="minorHAnsi"/>
          <w:bCs/>
          <w:sz w:val="24"/>
          <w:szCs w:val="24"/>
        </w:rPr>
        <w:t>historic underinvestment (DES, 2018b).</w:t>
      </w:r>
      <w:bookmarkEnd w:id="0"/>
      <w:r w:rsidRPr="005D177D">
        <w:rPr>
          <w:rFonts w:eastAsiaTheme="majorEastAsia" w:cstheme="minorHAnsi"/>
          <w:bCs/>
          <w:sz w:val="24"/>
          <w:szCs w:val="24"/>
        </w:rPr>
        <w:t xml:space="preserve"> </w:t>
      </w:r>
      <w:r w:rsidR="004F4BD2" w:rsidRPr="005D177D">
        <w:rPr>
          <w:rFonts w:cstheme="minorHAnsi"/>
          <w:sz w:val="24"/>
          <w:szCs w:val="24"/>
        </w:rPr>
        <w:t>Indeed,</w:t>
      </w:r>
      <w:r w:rsidR="00774CF1" w:rsidRPr="005D177D">
        <w:rPr>
          <w:rFonts w:cstheme="minorHAnsi"/>
          <w:sz w:val="24"/>
          <w:szCs w:val="24"/>
        </w:rPr>
        <w:t xml:space="preserve"> citizen satisfaction with the education system in Ireland is the highest of any of 22 European countries studied </w:t>
      </w:r>
      <w:r w:rsidR="001267B0" w:rsidRPr="005D177D">
        <w:rPr>
          <w:rFonts w:cstheme="minorHAnsi"/>
          <w:sz w:val="24"/>
          <w:szCs w:val="24"/>
        </w:rPr>
        <w:t xml:space="preserve">by </w:t>
      </w:r>
      <w:r w:rsidR="00774CF1" w:rsidRPr="005D177D">
        <w:rPr>
          <w:rFonts w:cstheme="minorHAnsi"/>
          <w:sz w:val="24"/>
          <w:szCs w:val="24"/>
        </w:rPr>
        <w:t>Boyle</w:t>
      </w:r>
      <w:r w:rsidR="001267B0" w:rsidRPr="005D177D">
        <w:rPr>
          <w:rFonts w:cstheme="minorHAnsi"/>
          <w:sz w:val="24"/>
          <w:szCs w:val="24"/>
        </w:rPr>
        <w:t xml:space="preserve"> (20</w:t>
      </w:r>
      <w:r w:rsidR="00774CF1" w:rsidRPr="005D177D">
        <w:rPr>
          <w:rFonts w:cstheme="minorHAnsi"/>
          <w:sz w:val="24"/>
          <w:szCs w:val="24"/>
        </w:rPr>
        <w:t xml:space="preserve">18) whilst parent satisfaction with the Irish education system was the </w:t>
      </w:r>
      <w:r w:rsidR="004F4BD2" w:rsidRPr="005D177D">
        <w:rPr>
          <w:rFonts w:cstheme="minorHAnsi"/>
          <w:sz w:val="24"/>
          <w:szCs w:val="24"/>
        </w:rPr>
        <w:t>second highest</w:t>
      </w:r>
      <w:r w:rsidR="00774CF1" w:rsidRPr="005D177D">
        <w:rPr>
          <w:rFonts w:cstheme="minorHAnsi"/>
          <w:sz w:val="24"/>
          <w:szCs w:val="24"/>
        </w:rPr>
        <w:t xml:space="preserve"> out of fifty-six countries </w:t>
      </w:r>
      <w:r w:rsidR="001267B0" w:rsidRPr="005D177D">
        <w:rPr>
          <w:rFonts w:cstheme="minorHAnsi"/>
          <w:sz w:val="24"/>
          <w:szCs w:val="24"/>
        </w:rPr>
        <w:t xml:space="preserve">in </w:t>
      </w:r>
      <w:r w:rsidR="00774CF1" w:rsidRPr="005D177D">
        <w:rPr>
          <w:rFonts w:cstheme="minorHAnsi"/>
          <w:sz w:val="24"/>
          <w:szCs w:val="24"/>
        </w:rPr>
        <w:t xml:space="preserve">Clerkin et al. </w:t>
      </w:r>
      <w:r w:rsidR="001267B0" w:rsidRPr="005D177D">
        <w:rPr>
          <w:rFonts w:cstheme="minorHAnsi"/>
          <w:sz w:val="24"/>
          <w:szCs w:val="24"/>
        </w:rPr>
        <w:t>(</w:t>
      </w:r>
      <w:r w:rsidR="00774CF1" w:rsidRPr="005D177D">
        <w:rPr>
          <w:rFonts w:cstheme="minorHAnsi"/>
          <w:sz w:val="24"/>
          <w:szCs w:val="24"/>
        </w:rPr>
        <w:t>2020).</w:t>
      </w:r>
    </w:p>
    <w:p w14:paraId="3F7AEBD8" w14:textId="77777777" w:rsidR="00774CF1" w:rsidRPr="005D177D" w:rsidRDefault="00774CF1" w:rsidP="005D177D">
      <w:pPr>
        <w:spacing w:line="360" w:lineRule="auto"/>
        <w:jc w:val="both"/>
        <w:rPr>
          <w:rFonts w:cstheme="minorHAnsi"/>
          <w:sz w:val="24"/>
          <w:szCs w:val="24"/>
        </w:rPr>
      </w:pPr>
    </w:p>
    <w:p w14:paraId="69B6A458" w14:textId="40540381" w:rsidR="00DF3151" w:rsidRPr="005D177D" w:rsidRDefault="00DF3151" w:rsidP="005D177D">
      <w:pPr>
        <w:spacing w:line="360" w:lineRule="auto"/>
        <w:jc w:val="both"/>
        <w:rPr>
          <w:rFonts w:cstheme="minorHAnsi"/>
          <w:sz w:val="24"/>
          <w:szCs w:val="24"/>
        </w:rPr>
      </w:pPr>
      <w:r w:rsidRPr="005D177D">
        <w:rPr>
          <w:rFonts w:cstheme="minorHAnsi"/>
          <w:sz w:val="24"/>
          <w:szCs w:val="24"/>
        </w:rPr>
        <w:t>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5D177D">
        <w:rPr>
          <w:rFonts w:cstheme="minorHAnsi"/>
          <w:sz w:val="24"/>
          <w:szCs w:val="24"/>
          <w:vertAlign w:val="superscript"/>
        </w:rPr>
        <w:t>st</w:t>
      </w:r>
      <w:r w:rsidR="004F4BD2" w:rsidRPr="005D177D">
        <w:rPr>
          <w:rFonts w:cstheme="minorHAnsi"/>
          <w:sz w:val="24"/>
          <w:szCs w:val="24"/>
        </w:rPr>
        <w:t>, 2019</w:t>
      </w:r>
      <w:r w:rsidRPr="005D177D">
        <w:rPr>
          <w:rFonts w:cstheme="minorHAnsi"/>
          <w:sz w:val="24"/>
          <w:szCs w:val="24"/>
        </w:rPr>
        <w:t>).</w:t>
      </w:r>
      <w:r w:rsidR="000737B9" w:rsidRPr="005D177D">
        <w:rPr>
          <w:rFonts w:cstheme="minorHAnsi"/>
          <w:sz w:val="24"/>
          <w:szCs w:val="24"/>
        </w:rPr>
        <w:t xml:space="preserve">  </w:t>
      </w:r>
      <w:bookmarkStart w:id="1" w:name="_Hlk47014882"/>
      <w:r w:rsidR="000737B9" w:rsidRPr="005D177D">
        <w:rPr>
          <w:rFonts w:cstheme="minorHAnsi"/>
          <w:sz w:val="24"/>
          <w:szCs w:val="24"/>
        </w:rPr>
        <w:t>ESRI (2020) found very high levels of trust of young people in the Irish education system.</w:t>
      </w:r>
    </w:p>
    <w:bookmarkEnd w:id="1"/>
    <w:p w14:paraId="1ECBACDF" w14:textId="77777777" w:rsidR="00DF3151" w:rsidRPr="005D177D" w:rsidRDefault="00DF3151" w:rsidP="005D177D">
      <w:pPr>
        <w:autoSpaceDE w:val="0"/>
        <w:autoSpaceDN w:val="0"/>
        <w:adjustRightInd w:val="0"/>
        <w:spacing w:after="0" w:line="360" w:lineRule="auto"/>
        <w:jc w:val="both"/>
        <w:rPr>
          <w:rFonts w:eastAsiaTheme="majorEastAsia" w:cstheme="minorHAnsi"/>
          <w:bCs/>
          <w:sz w:val="24"/>
          <w:szCs w:val="24"/>
        </w:rPr>
      </w:pPr>
    </w:p>
    <w:p w14:paraId="02422684" w14:textId="7E9E014E" w:rsidR="00DF3151" w:rsidRPr="005D177D" w:rsidRDefault="00DF3151" w:rsidP="005D177D">
      <w:pPr>
        <w:spacing w:after="0" w:line="360" w:lineRule="auto"/>
        <w:jc w:val="both"/>
        <w:rPr>
          <w:rFonts w:cstheme="minorHAnsi"/>
          <w:sz w:val="24"/>
          <w:szCs w:val="24"/>
        </w:rPr>
      </w:pPr>
      <w:r w:rsidRPr="005D177D">
        <w:rPr>
          <w:rFonts w:cstheme="minorHAnsi"/>
          <w:sz w:val="24"/>
          <w:szCs w:val="24"/>
        </w:rPr>
        <w:t>Ireland has a very young population (Eurostat, 2015</w:t>
      </w:r>
      <w:r w:rsidR="0021436E" w:rsidRPr="005D177D">
        <w:rPr>
          <w:rFonts w:cstheme="minorHAnsi"/>
          <w:sz w:val="24"/>
          <w:szCs w:val="24"/>
        </w:rPr>
        <w:t>; Government of Ireland</w:t>
      </w:r>
      <w:r w:rsidR="006637D1" w:rsidRPr="005D177D">
        <w:rPr>
          <w:rFonts w:cstheme="minorHAnsi"/>
          <w:sz w:val="24"/>
          <w:szCs w:val="24"/>
        </w:rPr>
        <w:t>,</w:t>
      </w:r>
      <w:r w:rsidR="0021436E" w:rsidRPr="005D177D">
        <w:rPr>
          <w:rFonts w:cstheme="minorHAnsi"/>
          <w:sz w:val="24"/>
          <w:szCs w:val="24"/>
        </w:rPr>
        <w:t xml:space="preserve"> 2019</w:t>
      </w:r>
      <w:r w:rsidR="000737B9" w:rsidRPr="005D177D">
        <w:rPr>
          <w:rFonts w:cstheme="minorHAnsi"/>
          <w:sz w:val="24"/>
          <w:szCs w:val="24"/>
        </w:rPr>
        <w:t>; DCYA, 2020</w:t>
      </w:r>
      <w:r w:rsidRPr="005D177D">
        <w:rPr>
          <w:rFonts w:cstheme="minorHAnsi"/>
          <w:sz w:val="24"/>
          <w:szCs w:val="24"/>
        </w:rPr>
        <w:t xml:space="preserve">).  In 2008, we had the second highest proportion of </w:t>
      </w:r>
      <w:r w:rsidR="004F4BD2" w:rsidRPr="005D177D">
        <w:rPr>
          <w:rFonts w:cstheme="minorHAnsi"/>
          <w:sz w:val="24"/>
          <w:szCs w:val="24"/>
        </w:rPr>
        <w:t>10–14-year-olds</w:t>
      </w:r>
      <w:r w:rsidRPr="005D177D">
        <w:rPr>
          <w:rFonts w:cstheme="minorHAnsi"/>
          <w:sz w:val="24"/>
          <w:szCs w:val="24"/>
        </w:rPr>
        <w:t xml:space="preserve"> in the European Union (CSO, 2009).  The high birth rate in Ireland (CSO, 2017; Eurostat, 2017</w:t>
      </w:r>
      <w:r w:rsidR="0021436E" w:rsidRPr="005D177D">
        <w:rPr>
          <w:rFonts w:cstheme="minorHAnsi"/>
          <w:sz w:val="24"/>
          <w:szCs w:val="24"/>
        </w:rPr>
        <w:t>; Government of Ireland, 2019</w:t>
      </w:r>
      <w:r w:rsidRPr="005D177D">
        <w:rPr>
          <w:rFonts w:cstheme="minorHAnsi"/>
          <w:sz w:val="24"/>
          <w:szCs w:val="24"/>
        </w:rPr>
        <w:t>) indicates that the population of young people is likely to remain high for the foreseeable future</w:t>
      </w:r>
      <w:r w:rsidR="00372CB1" w:rsidRPr="005D177D">
        <w:rPr>
          <w:rFonts w:cstheme="minorHAnsi"/>
          <w:sz w:val="24"/>
          <w:szCs w:val="24"/>
        </w:rPr>
        <w:t xml:space="preserve">. </w:t>
      </w:r>
      <w:r w:rsidRPr="005D177D">
        <w:rPr>
          <w:rFonts w:cstheme="minorHAnsi"/>
          <w:sz w:val="24"/>
          <w:szCs w:val="24"/>
        </w:rPr>
        <w:t xml:space="preserve"> </w:t>
      </w:r>
      <w:r w:rsidR="00B54CA7" w:rsidRPr="005D177D">
        <w:rPr>
          <w:rFonts w:cstheme="minorHAnsi"/>
          <w:sz w:val="24"/>
          <w:szCs w:val="24"/>
        </w:rPr>
        <w:t xml:space="preserve">The DES (2012, 2017) suggests that the number of students in the primary school system will rise by forty-nine thousand (516,460 to 565,696) from 2011 to 2019 and by almost one hundred thousand in second level between 2011 and 2025 (322,528 to 416,897).  The latest projections are that numbers in post-primary will peak at 402,000-410,000 in 2024/25 (Government of Ireland, 2020; DE, 2020a).  </w:t>
      </w:r>
      <w:r w:rsidR="00DB478A" w:rsidRPr="005D177D">
        <w:rPr>
          <w:rFonts w:cstheme="minorHAnsi"/>
          <w:sz w:val="24"/>
          <w:szCs w:val="24"/>
        </w:rPr>
        <w:t xml:space="preserve">In </w:t>
      </w:r>
      <w:r w:rsidRPr="005D177D">
        <w:rPr>
          <w:rFonts w:cstheme="minorHAnsi"/>
          <w:sz w:val="24"/>
          <w:szCs w:val="24"/>
        </w:rPr>
        <w:t xml:space="preserve">this context, it is not sufficient to suggest that a world-class child centred society can be achieved with inadequate resources of time, money or personnel.  </w:t>
      </w:r>
    </w:p>
    <w:p w14:paraId="638484BD" w14:textId="6DE522AB" w:rsidR="00372CB1" w:rsidRPr="005D177D" w:rsidRDefault="00372CB1" w:rsidP="005D177D">
      <w:pPr>
        <w:spacing w:after="0" w:line="360" w:lineRule="auto"/>
        <w:jc w:val="both"/>
        <w:rPr>
          <w:rFonts w:cstheme="minorHAnsi"/>
          <w:sz w:val="24"/>
          <w:szCs w:val="24"/>
        </w:rPr>
      </w:pPr>
    </w:p>
    <w:p w14:paraId="0BC18D34" w14:textId="5292FD51" w:rsidR="00E15307" w:rsidRPr="005D177D" w:rsidRDefault="00E15307" w:rsidP="005D177D">
      <w:pPr>
        <w:spacing w:after="0" w:line="360" w:lineRule="auto"/>
        <w:jc w:val="both"/>
        <w:rPr>
          <w:rFonts w:cstheme="minorHAnsi"/>
          <w:b/>
          <w:bCs/>
          <w:sz w:val="24"/>
          <w:szCs w:val="24"/>
          <w:u w:val="single"/>
        </w:rPr>
      </w:pPr>
      <w:r w:rsidRPr="005D177D">
        <w:rPr>
          <w:rFonts w:cstheme="minorHAnsi"/>
          <w:b/>
          <w:bCs/>
          <w:sz w:val="24"/>
          <w:szCs w:val="24"/>
          <w:u w:val="single"/>
        </w:rPr>
        <w:t>Digital Strategy Generally</w:t>
      </w:r>
    </w:p>
    <w:p w14:paraId="24736768" w14:textId="1C7664FF" w:rsidR="00E15307" w:rsidRPr="005D177D" w:rsidRDefault="00E15307" w:rsidP="005D177D">
      <w:pPr>
        <w:spacing w:after="0" w:line="360" w:lineRule="auto"/>
        <w:jc w:val="both"/>
        <w:rPr>
          <w:rFonts w:cstheme="minorHAnsi"/>
          <w:sz w:val="24"/>
          <w:szCs w:val="24"/>
        </w:rPr>
      </w:pPr>
      <w:r w:rsidRPr="005D177D">
        <w:rPr>
          <w:rFonts w:cstheme="minorHAnsi"/>
          <w:sz w:val="24"/>
          <w:szCs w:val="24"/>
        </w:rPr>
        <w:t xml:space="preserve">The TUI is on record as welcoming the previous iteration of the Digital Strategy for Schools 2015-2020.  However, the TUI made clear then, as it does now, that substantial investment is necessary in ICT in schools.  The €210m over five years in the last strategy was inadequate even by 2015 standards.  It did not come close to even dealing with historic underinvestment </w:t>
      </w:r>
      <w:r w:rsidRPr="005D177D">
        <w:rPr>
          <w:rFonts w:cstheme="minorHAnsi"/>
          <w:sz w:val="24"/>
          <w:szCs w:val="24"/>
        </w:rPr>
        <w:lastRenderedPageBreak/>
        <w:t>in hardware, software, CPD, licensing needs etc in schools.  Given the extent and pace of developments in technology</w:t>
      </w:r>
      <w:r w:rsidR="00FE7495">
        <w:rPr>
          <w:rFonts w:cstheme="minorHAnsi"/>
          <w:sz w:val="24"/>
          <w:szCs w:val="24"/>
        </w:rPr>
        <w:t>,</w:t>
      </w:r>
      <w:r w:rsidRPr="005D177D">
        <w:rPr>
          <w:rFonts w:cstheme="minorHAnsi"/>
          <w:sz w:val="24"/>
          <w:szCs w:val="24"/>
        </w:rPr>
        <w:t xml:space="preserve"> constant revision and renewal of the government’s strategy, priorities and investment is critical to enabling teaching and learning for 21</w:t>
      </w:r>
      <w:r w:rsidRPr="005D177D">
        <w:rPr>
          <w:rFonts w:cstheme="minorHAnsi"/>
          <w:sz w:val="24"/>
          <w:szCs w:val="24"/>
          <w:vertAlign w:val="superscript"/>
        </w:rPr>
        <w:t>st</w:t>
      </w:r>
      <w:r w:rsidRPr="005D177D">
        <w:rPr>
          <w:rFonts w:cstheme="minorHAnsi"/>
          <w:sz w:val="24"/>
          <w:szCs w:val="24"/>
        </w:rPr>
        <w:t xml:space="preserve"> century skills and competences.  The digital divide for students and teachers especially in DEIS schools, and the poor standard of broadband in many rural areas was clearly exposed by Covid-related disruption to in-class teaching in schools.  A quantum jump in investment is now needed.</w:t>
      </w:r>
    </w:p>
    <w:p w14:paraId="53D12304" w14:textId="77777777" w:rsidR="00E15307" w:rsidRPr="005D177D" w:rsidRDefault="00E15307" w:rsidP="005D177D">
      <w:pPr>
        <w:spacing w:after="0" w:line="360" w:lineRule="auto"/>
        <w:jc w:val="both"/>
        <w:rPr>
          <w:rFonts w:cstheme="minorHAnsi"/>
          <w:sz w:val="24"/>
          <w:szCs w:val="24"/>
        </w:rPr>
      </w:pPr>
    </w:p>
    <w:p w14:paraId="0A6FFC6D" w14:textId="7A52C15E" w:rsidR="00372CB1" w:rsidRPr="005D177D" w:rsidRDefault="00B54CA7" w:rsidP="005D177D">
      <w:pPr>
        <w:spacing w:after="0" w:line="360" w:lineRule="auto"/>
        <w:jc w:val="both"/>
        <w:rPr>
          <w:rFonts w:eastAsia="BrandonGrotesque-Regular" w:cstheme="minorHAnsi"/>
          <w:sz w:val="24"/>
          <w:szCs w:val="24"/>
          <w:lang w:val="en-US"/>
        </w:rPr>
      </w:pPr>
      <w:r w:rsidRPr="005D177D">
        <w:rPr>
          <w:rFonts w:cstheme="minorHAnsi"/>
          <w:b/>
          <w:bCs/>
          <w:sz w:val="24"/>
          <w:szCs w:val="24"/>
          <w:u w:val="single"/>
        </w:rPr>
        <w:t>Covid</w:t>
      </w:r>
    </w:p>
    <w:p w14:paraId="56A26A81" w14:textId="6C9DBD88" w:rsidR="00AD3E4A" w:rsidRPr="005D177D" w:rsidRDefault="004F4BD2" w:rsidP="005D177D">
      <w:pPr>
        <w:spacing w:after="0" w:line="360" w:lineRule="auto"/>
        <w:jc w:val="both"/>
        <w:rPr>
          <w:rFonts w:cstheme="minorHAnsi"/>
          <w:sz w:val="24"/>
          <w:szCs w:val="24"/>
        </w:rPr>
      </w:pPr>
      <w:r w:rsidRPr="005D177D">
        <w:rPr>
          <w:rFonts w:cstheme="minorHAnsi"/>
          <w:sz w:val="24"/>
          <w:szCs w:val="24"/>
        </w:rPr>
        <w:t>All</w:t>
      </w:r>
      <w:r w:rsidR="003076FE" w:rsidRPr="005D177D">
        <w:rPr>
          <w:rFonts w:cstheme="minorHAnsi"/>
          <w:sz w:val="24"/>
          <w:szCs w:val="24"/>
        </w:rPr>
        <w:t xml:space="preserve"> Irish society is</w:t>
      </w:r>
      <w:r w:rsidR="007B3ECA" w:rsidRPr="005D177D">
        <w:rPr>
          <w:rFonts w:cstheme="minorHAnsi"/>
          <w:sz w:val="24"/>
          <w:szCs w:val="24"/>
        </w:rPr>
        <w:t xml:space="preserve"> acutely conscious of the impact of C</w:t>
      </w:r>
      <w:r w:rsidR="006637D1" w:rsidRPr="005D177D">
        <w:rPr>
          <w:rFonts w:cstheme="minorHAnsi"/>
          <w:sz w:val="24"/>
          <w:szCs w:val="24"/>
        </w:rPr>
        <w:t>ovid</w:t>
      </w:r>
      <w:r w:rsidR="007B3ECA" w:rsidRPr="005D177D">
        <w:rPr>
          <w:rFonts w:cstheme="minorHAnsi"/>
          <w:sz w:val="24"/>
          <w:szCs w:val="24"/>
        </w:rPr>
        <w:t xml:space="preserve"> and its attendant losses in life, health, and employment. We must guard against losses in the social and cultural fabric that binds our nation together. In which connection, the work of TUI members, both in education and as trade unionists, is vital. Indeed, the crisis highlights the centrality of public service and collective effort to any well-ordered society. </w:t>
      </w:r>
      <w:r w:rsidR="003076FE" w:rsidRPr="005D177D">
        <w:rPr>
          <w:rFonts w:cstheme="minorHAnsi"/>
          <w:sz w:val="24"/>
          <w:szCs w:val="24"/>
        </w:rPr>
        <w:t>The TUI earnestly hopes that</w:t>
      </w:r>
      <w:r w:rsidR="007B3ECA" w:rsidRPr="005D177D">
        <w:rPr>
          <w:rFonts w:cstheme="minorHAnsi"/>
          <w:sz w:val="24"/>
          <w:szCs w:val="24"/>
        </w:rPr>
        <w:t xml:space="preserve"> those newly awakened to this reality do not soon forget it. For our part, we pay tribute and thanks to fellow public servants, in healthcare, policing and education most particularly, and indeed to all workers engaged in the provision of essential services. TUI members have risen magnificently to the challenge of maintaining education of the highest standard. Education is our greatest equalising and unifying endeavour and in the face of enormous difficulties </w:t>
      </w:r>
      <w:r w:rsidR="006637D1" w:rsidRPr="005D177D">
        <w:rPr>
          <w:rFonts w:cstheme="minorHAnsi"/>
          <w:sz w:val="24"/>
          <w:szCs w:val="24"/>
        </w:rPr>
        <w:t>our members</w:t>
      </w:r>
      <w:r w:rsidR="007B3ECA" w:rsidRPr="005D177D">
        <w:rPr>
          <w:rFonts w:cstheme="minorHAnsi"/>
          <w:sz w:val="24"/>
          <w:szCs w:val="24"/>
        </w:rPr>
        <w:t xml:space="preserve"> have continued to inspire curiosity and imagination, to release potential and to unfold opportunities and possibilities. </w:t>
      </w:r>
      <w:r w:rsidR="003076FE" w:rsidRPr="005D177D">
        <w:rPr>
          <w:rFonts w:cstheme="minorHAnsi"/>
          <w:sz w:val="24"/>
          <w:szCs w:val="24"/>
        </w:rPr>
        <w:t>The TUI will</w:t>
      </w:r>
      <w:r w:rsidR="007B3ECA" w:rsidRPr="005D177D">
        <w:rPr>
          <w:rFonts w:cstheme="minorHAnsi"/>
          <w:sz w:val="24"/>
          <w:szCs w:val="24"/>
        </w:rPr>
        <w:t xml:space="preserve"> beware of any complacent, or indeed malign, assumption by Managements or Government that the extraordinary efforts </w:t>
      </w:r>
      <w:r w:rsidR="003076FE" w:rsidRPr="005D177D">
        <w:rPr>
          <w:rFonts w:cstheme="minorHAnsi"/>
          <w:sz w:val="24"/>
          <w:szCs w:val="24"/>
        </w:rPr>
        <w:t xml:space="preserve">made by school staff </w:t>
      </w:r>
      <w:r w:rsidR="007B3ECA" w:rsidRPr="005D177D">
        <w:rPr>
          <w:rFonts w:cstheme="minorHAnsi"/>
          <w:sz w:val="24"/>
          <w:szCs w:val="24"/>
        </w:rPr>
        <w:t xml:space="preserve">in response to the emergency form a template for future work. We will ensure that our no-precedent stipulations, and the written assurances from Government, Departments and Managements to the same effect, will be honoured. </w:t>
      </w:r>
      <w:r w:rsidR="003076FE" w:rsidRPr="005D177D">
        <w:rPr>
          <w:rFonts w:cstheme="minorHAnsi"/>
          <w:sz w:val="24"/>
          <w:szCs w:val="24"/>
        </w:rPr>
        <w:t>Emergency remote teaching and learning</w:t>
      </w:r>
      <w:r w:rsidR="00E41D6D" w:rsidRPr="005D177D">
        <w:rPr>
          <w:rFonts w:cstheme="minorHAnsi"/>
          <w:sz w:val="24"/>
          <w:szCs w:val="24"/>
        </w:rPr>
        <w:t xml:space="preserve"> (ERTL)</w:t>
      </w:r>
      <w:r w:rsidR="003076FE" w:rsidRPr="005D177D">
        <w:rPr>
          <w:rFonts w:cstheme="minorHAnsi"/>
          <w:sz w:val="24"/>
          <w:szCs w:val="24"/>
        </w:rPr>
        <w:t xml:space="preserve"> was indeed only an emergency measure.  This has been acknowledged by the Minister for </w:t>
      </w:r>
      <w:r w:rsidR="00F4646A" w:rsidRPr="005D177D">
        <w:rPr>
          <w:rFonts w:cstheme="minorHAnsi"/>
          <w:sz w:val="24"/>
          <w:szCs w:val="24"/>
        </w:rPr>
        <w:t>E</w:t>
      </w:r>
      <w:r w:rsidR="003076FE" w:rsidRPr="005D177D">
        <w:rPr>
          <w:rFonts w:cstheme="minorHAnsi"/>
          <w:sz w:val="24"/>
          <w:szCs w:val="24"/>
        </w:rPr>
        <w:t>ducation in her address to TUI Congress in April 2021.</w:t>
      </w:r>
    </w:p>
    <w:p w14:paraId="729B4677" w14:textId="49EB3472" w:rsidR="00AD3E4A" w:rsidRPr="005D177D" w:rsidRDefault="00AD3E4A" w:rsidP="005D177D">
      <w:pPr>
        <w:spacing w:after="0" w:line="360" w:lineRule="auto"/>
        <w:jc w:val="both"/>
        <w:rPr>
          <w:rFonts w:cstheme="minorHAnsi"/>
          <w:sz w:val="24"/>
          <w:szCs w:val="24"/>
        </w:rPr>
      </w:pPr>
    </w:p>
    <w:p w14:paraId="687D683F" w14:textId="260F6F1D" w:rsidR="00E15307" w:rsidRPr="005D177D" w:rsidRDefault="00E15307" w:rsidP="005D177D">
      <w:pPr>
        <w:spacing w:line="360" w:lineRule="auto"/>
        <w:jc w:val="both"/>
        <w:rPr>
          <w:rFonts w:cstheme="minorHAnsi"/>
          <w:b/>
          <w:iCs/>
          <w:sz w:val="24"/>
          <w:szCs w:val="24"/>
          <w:u w:val="single"/>
        </w:rPr>
      </w:pPr>
      <w:r w:rsidRPr="005D177D">
        <w:rPr>
          <w:rFonts w:cstheme="minorHAnsi"/>
          <w:b/>
          <w:iCs/>
          <w:sz w:val="24"/>
          <w:szCs w:val="24"/>
          <w:u w:val="single"/>
        </w:rPr>
        <w:t xml:space="preserve">Importance of ICT </w:t>
      </w:r>
    </w:p>
    <w:p w14:paraId="2E15265C" w14:textId="5AC4E0E9" w:rsidR="00E15307" w:rsidRPr="005D177D" w:rsidRDefault="006637D1" w:rsidP="005D177D">
      <w:pPr>
        <w:spacing w:line="360" w:lineRule="auto"/>
        <w:jc w:val="both"/>
        <w:rPr>
          <w:rFonts w:cstheme="minorHAnsi"/>
          <w:sz w:val="24"/>
          <w:szCs w:val="24"/>
        </w:rPr>
      </w:pPr>
      <w:r w:rsidRPr="005D177D">
        <w:rPr>
          <w:rFonts w:cstheme="minorHAnsi"/>
          <w:sz w:val="24"/>
          <w:szCs w:val="24"/>
        </w:rPr>
        <w:t xml:space="preserve">The </w:t>
      </w:r>
      <w:r w:rsidR="00E15307" w:rsidRPr="005D177D">
        <w:rPr>
          <w:rFonts w:cstheme="minorHAnsi"/>
          <w:sz w:val="24"/>
          <w:szCs w:val="24"/>
        </w:rPr>
        <w:t xml:space="preserve">TUI envisions a greater integration of ICT into teaching and learning across the curriculum. This comprehends ICT as a basic teaching and learning tool interchangeable with a host of other tools, as a research and experiential tool for teachers and students and as a </w:t>
      </w:r>
      <w:r w:rsidR="00E15307" w:rsidRPr="005D177D">
        <w:rPr>
          <w:rFonts w:cstheme="minorHAnsi"/>
          <w:sz w:val="24"/>
          <w:szCs w:val="24"/>
        </w:rPr>
        <w:lastRenderedPageBreak/>
        <w:t>sophisticated teaching tool to support, with ease, engagement, creativity and imagination in classrooms.</w:t>
      </w:r>
      <w:r w:rsidR="005132D7" w:rsidRPr="005D177D">
        <w:rPr>
          <w:rFonts w:cstheme="minorHAnsi"/>
          <w:sz w:val="24"/>
          <w:szCs w:val="24"/>
        </w:rPr>
        <w:t xml:space="preserve">  It is important that the issues of software, hardware and infrastructure are all addressed in the context of both costs and workload.</w:t>
      </w:r>
    </w:p>
    <w:p w14:paraId="6E964706" w14:textId="77777777" w:rsidR="003076FE" w:rsidRPr="005D177D" w:rsidRDefault="003076FE" w:rsidP="005D177D">
      <w:pPr>
        <w:spacing w:line="360" w:lineRule="auto"/>
        <w:jc w:val="both"/>
        <w:rPr>
          <w:rFonts w:cstheme="minorHAnsi"/>
          <w:sz w:val="24"/>
          <w:szCs w:val="24"/>
        </w:rPr>
      </w:pPr>
    </w:p>
    <w:p w14:paraId="7C6D595B" w14:textId="787AA918"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School spaces and organisation should be more cognizant of how ICT can support teaching and learning and promote different teaching approaches </w:t>
      </w:r>
      <w:r w:rsidR="004F4BD2" w:rsidRPr="005D177D">
        <w:rPr>
          <w:rFonts w:cstheme="minorHAnsi"/>
          <w:sz w:val="24"/>
          <w:szCs w:val="24"/>
        </w:rPr>
        <w:t>e.g.,</w:t>
      </w:r>
      <w:r w:rsidRPr="005D177D">
        <w:rPr>
          <w:rFonts w:cstheme="minorHAnsi"/>
          <w:sz w:val="24"/>
          <w:szCs w:val="24"/>
        </w:rPr>
        <w:t xml:space="preserve"> team teaching, integrated projects, independent learning.   </w:t>
      </w:r>
    </w:p>
    <w:p w14:paraId="3A650003" w14:textId="77777777" w:rsidR="003076FE" w:rsidRPr="005D177D" w:rsidRDefault="003076FE" w:rsidP="005D177D">
      <w:pPr>
        <w:spacing w:line="360" w:lineRule="auto"/>
        <w:jc w:val="both"/>
        <w:rPr>
          <w:rFonts w:cstheme="minorHAnsi"/>
          <w:sz w:val="24"/>
          <w:szCs w:val="24"/>
        </w:rPr>
      </w:pPr>
    </w:p>
    <w:p w14:paraId="0A09F245" w14:textId="162F949D"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Teacher competence to use ICT equipment, mediums and resources as a normal, everyday part of teaching and learning should, in general, have reached an advanced level. On-going development and renewal opportunities should be available - cost neutral to teachers – to ensure they can embrace, with ease, new ICT developments and resources.  If neglected or underdeveloped teacher competence will inhibit potential development.   </w:t>
      </w:r>
    </w:p>
    <w:p w14:paraId="4F445E8B" w14:textId="77777777" w:rsidR="003076FE" w:rsidRPr="005D177D" w:rsidRDefault="003076FE" w:rsidP="005D177D">
      <w:pPr>
        <w:spacing w:line="360" w:lineRule="auto"/>
        <w:jc w:val="both"/>
        <w:rPr>
          <w:rFonts w:cstheme="minorHAnsi"/>
          <w:sz w:val="24"/>
          <w:szCs w:val="24"/>
        </w:rPr>
      </w:pPr>
    </w:p>
    <w:p w14:paraId="3A9FFE6F" w14:textId="4FBE36AD"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In tandem, student competence to use ICT mediums and devices should be well developed. In this regard every student should have access to direct tuition.  It is not enough to assume that students are digital natives and therefore do not need a basic foundation in ICT related skills – evidence is emerging that students are often limited in how, and for what purpose, they engage with ICT.    </w:t>
      </w:r>
    </w:p>
    <w:p w14:paraId="4D9FA007" w14:textId="77777777" w:rsidR="003076FE" w:rsidRPr="005D177D" w:rsidRDefault="003076FE" w:rsidP="005D177D">
      <w:pPr>
        <w:spacing w:line="360" w:lineRule="auto"/>
        <w:jc w:val="both"/>
        <w:rPr>
          <w:rFonts w:cstheme="minorHAnsi"/>
          <w:sz w:val="24"/>
          <w:szCs w:val="24"/>
        </w:rPr>
      </w:pPr>
    </w:p>
    <w:p w14:paraId="26F0B919" w14:textId="0CEBD038"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ICT provides the opportunity: </w:t>
      </w:r>
    </w:p>
    <w:p w14:paraId="7BF9C693"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 xml:space="preserve">to make knowledge and ideas more accessible </w:t>
      </w:r>
    </w:p>
    <w:p w14:paraId="3843F515" w14:textId="318825A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 xml:space="preserve">to introduce interactive, visual, stimulating mediums </w:t>
      </w:r>
    </w:p>
    <w:p w14:paraId="221DEDE3"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 xml:space="preserve">for teachers and students to access a wider range of knowledge and ideas and to </w:t>
      </w:r>
    </w:p>
    <w:p w14:paraId="713BED56"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 xml:space="preserve">for teachers and students to network to share ideas and information and learn from each other </w:t>
      </w:r>
    </w:p>
    <w:p w14:paraId="230CEE36"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 xml:space="preserve">to promote project and integrated learning </w:t>
      </w:r>
    </w:p>
    <w:p w14:paraId="421B4BBC"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to develop student research skills</w:t>
      </w:r>
    </w:p>
    <w:p w14:paraId="2C353507"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lastRenderedPageBreak/>
        <w:t>to promote independent and group learning</w:t>
      </w:r>
    </w:p>
    <w:p w14:paraId="10401D32" w14:textId="77777777" w:rsidR="00E15307" w:rsidRPr="005D177D" w:rsidRDefault="00E15307" w:rsidP="005D177D">
      <w:pPr>
        <w:pStyle w:val="ListParagraph"/>
        <w:numPr>
          <w:ilvl w:val="0"/>
          <w:numId w:val="40"/>
        </w:numPr>
        <w:spacing w:line="360" w:lineRule="auto"/>
        <w:jc w:val="both"/>
        <w:rPr>
          <w:rFonts w:cstheme="minorHAnsi"/>
          <w:sz w:val="24"/>
          <w:szCs w:val="24"/>
        </w:rPr>
      </w:pPr>
      <w:r w:rsidRPr="005D177D">
        <w:rPr>
          <w:rFonts w:cstheme="minorHAnsi"/>
          <w:sz w:val="24"/>
          <w:szCs w:val="24"/>
        </w:rPr>
        <w:t>to promote and develop effective 21</w:t>
      </w:r>
      <w:r w:rsidRPr="005D177D">
        <w:rPr>
          <w:rFonts w:cstheme="minorHAnsi"/>
          <w:sz w:val="24"/>
          <w:szCs w:val="24"/>
          <w:vertAlign w:val="superscript"/>
        </w:rPr>
        <w:t>st</w:t>
      </w:r>
      <w:r w:rsidRPr="005D177D">
        <w:rPr>
          <w:rFonts w:cstheme="minorHAnsi"/>
          <w:sz w:val="24"/>
          <w:szCs w:val="24"/>
        </w:rPr>
        <w:t xml:space="preserve"> century skills among students.  </w:t>
      </w:r>
    </w:p>
    <w:p w14:paraId="06ACBDDE" w14:textId="77777777" w:rsidR="00E15307" w:rsidRPr="005D177D" w:rsidRDefault="00E15307" w:rsidP="005D177D">
      <w:pPr>
        <w:spacing w:line="360" w:lineRule="auto"/>
        <w:jc w:val="both"/>
        <w:rPr>
          <w:rFonts w:cstheme="minorHAnsi"/>
          <w:b/>
          <w:sz w:val="24"/>
          <w:szCs w:val="24"/>
        </w:rPr>
      </w:pPr>
    </w:p>
    <w:p w14:paraId="2BFC91B1" w14:textId="77777777" w:rsidR="00E15307" w:rsidRPr="005D177D" w:rsidRDefault="00E15307" w:rsidP="005D177D">
      <w:pPr>
        <w:spacing w:line="360" w:lineRule="auto"/>
        <w:jc w:val="both"/>
        <w:rPr>
          <w:rFonts w:cstheme="minorHAnsi"/>
          <w:b/>
          <w:sz w:val="24"/>
          <w:szCs w:val="24"/>
          <w:u w:val="single"/>
        </w:rPr>
      </w:pPr>
      <w:r w:rsidRPr="005D177D">
        <w:rPr>
          <w:rFonts w:cstheme="minorHAnsi"/>
          <w:b/>
          <w:sz w:val="24"/>
          <w:szCs w:val="24"/>
          <w:u w:val="single"/>
        </w:rPr>
        <w:t>Priorities for schools in relation to ICT</w:t>
      </w:r>
    </w:p>
    <w:p w14:paraId="136DF4F1" w14:textId="77777777"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Priorities must include: </w:t>
      </w:r>
    </w:p>
    <w:p w14:paraId="7C5A7985"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Building and strengthening teacher expertise and competence.</w:t>
      </w:r>
    </w:p>
    <w:p w14:paraId="35F4D775"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 xml:space="preserve">Ensuring adequate teacher and student access to essential infrastructure. </w:t>
      </w:r>
    </w:p>
    <w:p w14:paraId="0CFA6BF7"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Accessing, developing and managing software which will involve a mix of external agencies, teachers and student (relative to context).</w:t>
      </w:r>
    </w:p>
    <w:p w14:paraId="7E0C88A4"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Ensuring safe access and ethical, appropriate use of ICT by teachers and students.</w:t>
      </w:r>
    </w:p>
    <w:p w14:paraId="41E2F855"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Planning for and providing adequate technical support at local/school/classroom/ individual teacher level in a manner that guarantees appropriate and timely support and ensures teachers are not distracted from their core function as facilitator of learning.</w:t>
      </w:r>
    </w:p>
    <w:p w14:paraId="3B5DBF5A" w14:textId="77777777" w:rsidR="00E15307" w:rsidRPr="005D177D" w:rsidRDefault="00E15307" w:rsidP="005D177D">
      <w:pPr>
        <w:pStyle w:val="ListParagraph"/>
        <w:numPr>
          <w:ilvl w:val="0"/>
          <w:numId w:val="39"/>
        </w:numPr>
        <w:spacing w:line="360" w:lineRule="auto"/>
        <w:jc w:val="both"/>
        <w:rPr>
          <w:rFonts w:cstheme="minorHAnsi"/>
          <w:sz w:val="24"/>
          <w:szCs w:val="24"/>
        </w:rPr>
      </w:pPr>
      <w:r w:rsidRPr="005D177D">
        <w:rPr>
          <w:rFonts w:cstheme="minorHAnsi"/>
          <w:sz w:val="24"/>
          <w:szCs w:val="24"/>
        </w:rPr>
        <w:t xml:space="preserve">Organisation and/or re-organisation of learning spaces and time in a manner that embraces, more fully, the potential of ICT to support and enhance the teaching and learning process.        </w:t>
      </w:r>
    </w:p>
    <w:p w14:paraId="1682BDCF" w14:textId="77777777"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The above will only be obtainable if there is adequate investment by government at school and system level.  </w:t>
      </w:r>
    </w:p>
    <w:p w14:paraId="30B86712" w14:textId="77777777" w:rsidR="00E15307" w:rsidRPr="005D177D" w:rsidRDefault="00E15307" w:rsidP="005D177D">
      <w:pPr>
        <w:spacing w:line="360" w:lineRule="auto"/>
        <w:jc w:val="both"/>
        <w:rPr>
          <w:rFonts w:cstheme="minorHAnsi"/>
          <w:b/>
          <w:i/>
          <w:sz w:val="24"/>
          <w:szCs w:val="24"/>
        </w:rPr>
      </w:pPr>
    </w:p>
    <w:p w14:paraId="2D56F236" w14:textId="3CD7AF57" w:rsidR="00E15307" w:rsidRPr="005D177D" w:rsidRDefault="00E15307" w:rsidP="005D177D">
      <w:pPr>
        <w:spacing w:line="360" w:lineRule="auto"/>
        <w:jc w:val="both"/>
        <w:rPr>
          <w:rFonts w:cstheme="minorHAnsi"/>
          <w:b/>
          <w:iCs/>
          <w:sz w:val="24"/>
          <w:szCs w:val="24"/>
          <w:u w:val="single"/>
        </w:rPr>
      </w:pPr>
      <w:r w:rsidRPr="005D177D">
        <w:rPr>
          <w:rFonts w:cstheme="minorHAnsi"/>
          <w:b/>
          <w:iCs/>
          <w:sz w:val="24"/>
          <w:szCs w:val="24"/>
          <w:u w:val="single"/>
        </w:rPr>
        <w:t>Challenges for ICT implementation in schools</w:t>
      </w:r>
    </w:p>
    <w:p w14:paraId="7B96BED5" w14:textId="77777777" w:rsidR="00E15307" w:rsidRPr="005D177D" w:rsidRDefault="00E15307" w:rsidP="005D177D">
      <w:pPr>
        <w:spacing w:line="360" w:lineRule="auto"/>
        <w:jc w:val="both"/>
        <w:rPr>
          <w:rFonts w:cstheme="minorHAnsi"/>
          <w:sz w:val="24"/>
          <w:szCs w:val="24"/>
        </w:rPr>
      </w:pPr>
      <w:r w:rsidRPr="005D177D">
        <w:rPr>
          <w:rFonts w:cstheme="minorHAnsi"/>
          <w:sz w:val="24"/>
          <w:szCs w:val="24"/>
        </w:rPr>
        <w:t>The essential challenges are:</w:t>
      </w:r>
    </w:p>
    <w:p w14:paraId="6123DA94" w14:textId="77777777" w:rsidR="00E15307" w:rsidRPr="005D177D" w:rsidRDefault="00E15307" w:rsidP="005D177D">
      <w:pPr>
        <w:pStyle w:val="ListParagraph"/>
        <w:numPr>
          <w:ilvl w:val="0"/>
          <w:numId w:val="38"/>
        </w:numPr>
        <w:spacing w:line="360" w:lineRule="auto"/>
        <w:jc w:val="both"/>
        <w:rPr>
          <w:rFonts w:cstheme="minorHAnsi"/>
          <w:sz w:val="24"/>
          <w:szCs w:val="24"/>
        </w:rPr>
      </w:pPr>
      <w:r w:rsidRPr="005D177D">
        <w:rPr>
          <w:rFonts w:cstheme="minorHAnsi"/>
          <w:sz w:val="24"/>
          <w:szCs w:val="24"/>
        </w:rPr>
        <w:t>Ensuring a minimum level of access to and use of ICT in all schools and classrooms.  This includes accessing the right expertise, building capacity and maintaining and developing that capacity on an on-going basis.  Capacity here includes infrastructural capacity, human capacity (student, teacher) and resource capacity (teaching resources, technical support etc.)</w:t>
      </w:r>
    </w:p>
    <w:p w14:paraId="37853A81" w14:textId="23FDC284" w:rsidR="00E15307" w:rsidRPr="005D177D" w:rsidRDefault="00E15307" w:rsidP="005D177D">
      <w:pPr>
        <w:pStyle w:val="ListParagraph"/>
        <w:numPr>
          <w:ilvl w:val="0"/>
          <w:numId w:val="38"/>
        </w:numPr>
        <w:spacing w:line="360" w:lineRule="auto"/>
        <w:jc w:val="both"/>
        <w:rPr>
          <w:rFonts w:cstheme="minorHAnsi"/>
          <w:sz w:val="24"/>
          <w:szCs w:val="24"/>
        </w:rPr>
      </w:pPr>
      <w:r w:rsidRPr="005D177D">
        <w:rPr>
          <w:rFonts w:cstheme="minorHAnsi"/>
          <w:sz w:val="24"/>
          <w:szCs w:val="24"/>
        </w:rPr>
        <w:lastRenderedPageBreak/>
        <w:t xml:space="preserve">Keeping abreast with how and what is evolving in ICT and remain responsive to changes. The speed at which new devices, mediums, packages are developed requires on-going renewal and development. This infers on-going </w:t>
      </w:r>
      <w:r w:rsidR="004F4BD2" w:rsidRPr="005D177D">
        <w:rPr>
          <w:rFonts w:cstheme="minorHAnsi"/>
          <w:sz w:val="24"/>
          <w:szCs w:val="24"/>
        </w:rPr>
        <w:t>high-level</w:t>
      </w:r>
      <w:r w:rsidRPr="005D177D">
        <w:rPr>
          <w:rFonts w:cstheme="minorHAnsi"/>
          <w:sz w:val="24"/>
          <w:szCs w:val="24"/>
        </w:rPr>
        <w:t xml:space="preserve"> investment in ICT – very challenging in an environment of in a time of budgetary constraints.  </w:t>
      </w:r>
    </w:p>
    <w:p w14:paraId="0D223F6F" w14:textId="77777777" w:rsidR="00E15307" w:rsidRPr="005D177D" w:rsidRDefault="00E15307" w:rsidP="005D177D">
      <w:pPr>
        <w:pStyle w:val="ListParagraph"/>
        <w:numPr>
          <w:ilvl w:val="0"/>
          <w:numId w:val="38"/>
        </w:numPr>
        <w:spacing w:line="360" w:lineRule="auto"/>
        <w:jc w:val="both"/>
        <w:rPr>
          <w:rFonts w:cstheme="minorHAnsi"/>
          <w:sz w:val="24"/>
          <w:szCs w:val="24"/>
        </w:rPr>
      </w:pPr>
      <w:r w:rsidRPr="005D177D">
        <w:rPr>
          <w:rFonts w:cstheme="minorHAnsi"/>
          <w:sz w:val="24"/>
          <w:szCs w:val="24"/>
        </w:rPr>
        <w:t>Accessing adequate time, expertise and resources to respond to ICT developments and incorporate them in a timely manner into teaching and learning and school life.</w:t>
      </w:r>
    </w:p>
    <w:p w14:paraId="671D360F" w14:textId="4CE25548" w:rsidR="00E15307" w:rsidRPr="005D177D" w:rsidRDefault="00E15307" w:rsidP="005D177D">
      <w:pPr>
        <w:pStyle w:val="ListParagraph"/>
        <w:numPr>
          <w:ilvl w:val="0"/>
          <w:numId w:val="38"/>
        </w:numPr>
        <w:spacing w:line="360" w:lineRule="auto"/>
        <w:jc w:val="both"/>
        <w:rPr>
          <w:rFonts w:cstheme="minorHAnsi"/>
          <w:sz w:val="24"/>
          <w:szCs w:val="24"/>
        </w:rPr>
      </w:pPr>
      <w:r w:rsidRPr="005D177D">
        <w:rPr>
          <w:rFonts w:cstheme="minorHAnsi"/>
          <w:sz w:val="24"/>
          <w:szCs w:val="24"/>
        </w:rPr>
        <w:t xml:space="preserve">Supporting students to ‘stay on task’ and continue to maintain positive relationships with other students in a context of some organisations pushing schools to develop ‘bring your own device’ mechanisms.  Such BYOD policies may reduce some pressure on schools in terms of financing but create an inequitable structure in terms of families who can, and families who can’t afford devices.  It also creates a security and insurance headache for schools.  For example, cyberbullying could become a problem as schools don’t own the device so can’t install internet security software on the device.  The TUI has recently addressed this issue in a submission to the </w:t>
      </w:r>
      <w:r w:rsidR="00AD3E4A" w:rsidRPr="005D177D">
        <w:rPr>
          <w:rFonts w:cstheme="minorHAnsi"/>
          <w:sz w:val="24"/>
          <w:szCs w:val="24"/>
        </w:rPr>
        <w:t xml:space="preserve">Joint Oireachtas Committee on Education, Further and Higher Education, Research, Innovation and Science (TUI, 2021). </w:t>
      </w:r>
    </w:p>
    <w:p w14:paraId="01254062" w14:textId="77777777" w:rsidR="00E15307" w:rsidRPr="005D177D" w:rsidRDefault="00E15307" w:rsidP="005D177D">
      <w:pPr>
        <w:spacing w:line="360" w:lineRule="auto"/>
        <w:jc w:val="both"/>
        <w:rPr>
          <w:rFonts w:cstheme="minorHAnsi"/>
          <w:sz w:val="24"/>
          <w:szCs w:val="24"/>
        </w:rPr>
      </w:pPr>
    </w:p>
    <w:p w14:paraId="0D239A3D" w14:textId="77777777"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Fairness means meaningful access to ICT for all schools and students and a level of investment that: </w:t>
      </w:r>
    </w:p>
    <w:p w14:paraId="29E0D733" w14:textId="25FFF3F0"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 xml:space="preserve">ensures all schools have a minimum level of ICT infrastructure, hardware, equipment and devices, relevant software and materials at whole-school, classroom, teacher and student level </w:t>
      </w:r>
    </w:p>
    <w:p w14:paraId="31AC97FB" w14:textId="24384561"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 xml:space="preserve">provides, as necessary, for additional grants to schools to reach and/or maintain </w:t>
      </w:r>
      <w:r w:rsidR="004F4BD2" w:rsidRPr="005D177D">
        <w:rPr>
          <w:rFonts w:cstheme="minorHAnsi"/>
          <w:sz w:val="24"/>
          <w:szCs w:val="24"/>
        </w:rPr>
        <w:t>a minimum</w:t>
      </w:r>
      <w:r w:rsidRPr="005D177D">
        <w:rPr>
          <w:rFonts w:cstheme="minorHAnsi"/>
          <w:sz w:val="24"/>
          <w:szCs w:val="24"/>
        </w:rPr>
        <w:t xml:space="preserve"> level in respect of the point above; such grants must be renewable given the pace at which ICT is evolving  </w:t>
      </w:r>
    </w:p>
    <w:p w14:paraId="454F4F36" w14:textId="77777777"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supports appropriate, on-going access for teachers to up-skilling and development on evolving ICT mediums and materials</w:t>
      </w:r>
    </w:p>
    <w:p w14:paraId="0E9EB6B4" w14:textId="77777777"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makes provision for financial incentives and supports to ensure teachers and students and their families can purchase and maintain the necessary equipment, devices and materials</w:t>
      </w:r>
    </w:p>
    <w:p w14:paraId="79D3DEB8" w14:textId="77777777"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lastRenderedPageBreak/>
        <w:t>makes adequate and meaningful provision for access to technical expertise and support for schools and teachers</w:t>
      </w:r>
    </w:p>
    <w:p w14:paraId="5014360C" w14:textId="77777777"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 xml:space="preserve">enables schools put in place a co-ordinator (more than one in a large school) to drive and sustain development. </w:t>
      </w:r>
    </w:p>
    <w:p w14:paraId="326A5848" w14:textId="7938E76E" w:rsidR="00E15307" w:rsidRPr="005D177D" w:rsidRDefault="00E15307" w:rsidP="005D177D">
      <w:pPr>
        <w:pStyle w:val="ListParagraph"/>
        <w:numPr>
          <w:ilvl w:val="0"/>
          <w:numId w:val="37"/>
        </w:numPr>
        <w:spacing w:line="360" w:lineRule="auto"/>
        <w:jc w:val="both"/>
        <w:rPr>
          <w:rFonts w:cstheme="minorHAnsi"/>
          <w:sz w:val="24"/>
          <w:szCs w:val="24"/>
        </w:rPr>
      </w:pPr>
      <w:r w:rsidRPr="005D177D">
        <w:rPr>
          <w:rFonts w:cstheme="minorHAnsi"/>
          <w:sz w:val="24"/>
          <w:szCs w:val="24"/>
        </w:rPr>
        <w:t xml:space="preserve">access to </w:t>
      </w:r>
      <w:r w:rsidR="004F4BD2" w:rsidRPr="005D177D">
        <w:rPr>
          <w:rFonts w:cstheme="minorHAnsi"/>
          <w:sz w:val="24"/>
          <w:szCs w:val="24"/>
        </w:rPr>
        <w:t>high-speed</w:t>
      </w:r>
      <w:r w:rsidRPr="005D177D">
        <w:rPr>
          <w:rFonts w:cstheme="minorHAnsi"/>
          <w:sz w:val="24"/>
          <w:szCs w:val="24"/>
        </w:rPr>
        <w:t xml:space="preserve"> broadband must be consistent across the school </w:t>
      </w:r>
    </w:p>
    <w:p w14:paraId="32619A9E" w14:textId="1D36C6BC" w:rsidR="00E15307" w:rsidRPr="005D177D" w:rsidRDefault="00FE7495" w:rsidP="005D177D">
      <w:pPr>
        <w:pStyle w:val="ListParagraph"/>
        <w:numPr>
          <w:ilvl w:val="0"/>
          <w:numId w:val="5"/>
        </w:numPr>
        <w:spacing w:line="360" w:lineRule="auto"/>
        <w:jc w:val="both"/>
        <w:rPr>
          <w:rFonts w:cstheme="minorHAnsi"/>
          <w:sz w:val="24"/>
          <w:szCs w:val="24"/>
        </w:rPr>
      </w:pPr>
      <w:r>
        <w:rPr>
          <w:rFonts w:cstheme="minorHAnsi"/>
          <w:sz w:val="24"/>
          <w:szCs w:val="24"/>
        </w:rPr>
        <w:t>w</w:t>
      </w:r>
      <w:r w:rsidR="00E15307" w:rsidRPr="005D177D">
        <w:rPr>
          <w:rFonts w:cstheme="minorHAnsi"/>
          <w:sz w:val="24"/>
          <w:szCs w:val="24"/>
        </w:rPr>
        <w:t xml:space="preserve">ireless systems will be critical to supporting general engagement with ICT throughout schools, building general capacity and promoting the use of flexible learning hubs or spaces, </w:t>
      </w:r>
      <w:r w:rsidR="004F4BD2" w:rsidRPr="005D177D">
        <w:rPr>
          <w:rFonts w:cstheme="minorHAnsi"/>
          <w:sz w:val="24"/>
          <w:szCs w:val="24"/>
        </w:rPr>
        <w:t>group-based</w:t>
      </w:r>
      <w:r w:rsidR="00E15307" w:rsidRPr="005D177D">
        <w:rPr>
          <w:rFonts w:cstheme="minorHAnsi"/>
          <w:sz w:val="24"/>
          <w:szCs w:val="24"/>
        </w:rPr>
        <w:t xml:space="preserve"> activity and independent study</w:t>
      </w:r>
    </w:p>
    <w:p w14:paraId="65755EF0" w14:textId="2888A5D9" w:rsidR="00E15307" w:rsidRPr="005D177D" w:rsidRDefault="00FE7495" w:rsidP="005D177D">
      <w:pPr>
        <w:pStyle w:val="ListParagraph"/>
        <w:numPr>
          <w:ilvl w:val="0"/>
          <w:numId w:val="5"/>
        </w:numPr>
        <w:spacing w:line="360" w:lineRule="auto"/>
        <w:jc w:val="both"/>
        <w:rPr>
          <w:rFonts w:cstheme="minorHAnsi"/>
          <w:sz w:val="24"/>
          <w:szCs w:val="24"/>
        </w:rPr>
      </w:pPr>
      <w:r>
        <w:rPr>
          <w:rFonts w:cstheme="minorHAnsi"/>
          <w:sz w:val="24"/>
          <w:szCs w:val="24"/>
        </w:rPr>
        <w:t>c</w:t>
      </w:r>
      <w:r w:rsidR="00E15307" w:rsidRPr="005D177D">
        <w:rPr>
          <w:rFonts w:cstheme="minorHAnsi"/>
          <w:sz w:val="24"/>
          <w:szCs w:val="24"/>
        </w:rPr>
        <w:t xml:space="preserve">onnectivity to a wireless network throughout a school (each classroom, the library and general areas etc.) will be essential to enabling effective integration and use of ICT in teaching in learning across the curriculum.   </w:t>
      </w:r>
    </w:p>
    <w:p w14:paraId="62C7F839" w14:textId="77777777" w:rsidR="00E15307" w:rsidRPr="005D177D" w:rsidRDefault="00E15307" w:rsidP="005D177D">
      <w:pPr>
        <w:spacing w:line="360" w:lineRule="auto"/>
        <w:jc w:val="both"/>
        <w:rPr>
          <w:rFonts w:cstheme="minorHAnsi"/>
          <w:b/>
          <w:sz w:val="24"/>
          <w:szCs w:val="24"/>
          <w:u w:val="single"/>
        </w:rPr>
      </w:pPr>
    </w:p>
    <w:p w14:paraId="2C8A9726" w14:textId="77777777" w:rsidR="00E15307" w:rsidRPr="005D177D" w:rsidRDefault="00E15307" w:rsidP="005D177D">
      <w:pPr>
        <w:spacing w:line="360" w:lineRule="auto"/>
        <w:jc w:val="both"/>
        <w:rPr>
          <w:rFonts w:cstheme="minorHAnsi"/>
          <w:b/>
          <w:sz w:val="24"/>
          <w:szCs w:val="24"/>
          <w:u w:val="single"/>
        </w:rPr>
      </w:pPr>
      <w:r w:rsidRPr="005D177D">
        <w:rPr>
          <w:rFonts w:cstheme="minorHAnsi"/>
          <w:b/>
          <w:sz w:val="24"/>
          <w:szCs w:val="24"/>
          <w:u w:val="single"/>
        </w:rPr>
        <w:t xml:space="preserve">Equipment and Devices </w:t>
      </w:r>
    </w:p>
    <w:p w14:paraId="5BD54A9F" w14:textId="54584786"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Given the pace of technological advances there is now enormous variety in the type, nature and range of ICT equipment and digital devices that schools can select.   Access to devices and equipment that support teaching and learning operates at a number of levels: </w:t>
      </w:r>
    </w:p>
    <w:p w14:paraId="209C89FC" w14:textId="3CEE650A" w:rsidR="00E15307" w:rsidRPr="005D177D" w:rsidRDefault="00E15307" w:rsidP="005D177D">
      <w:pPr>
        <w:pStyle w:val="ListParagraph"/>
        <w:numPr>
          <w:ilvl w:val="0"/>
          <w:numId w:val="1"/>
        </w:numPr>
        <w:spacing w:line="360" w:lineRule="auto"/>
        <w:jc w:val="both"/>
        <w:rPr>
          <w:rFonts w:cstheme="minorHAnsi"/>
          <w:sz w:val="24"/>
          <w:szCs w:val="24"/>
        </w:rPr>
      </w:pPr>
      <w:r w:rsidRPr="005D177D">
        <w:rPr>
          <w:rFonts w:cstheme="minorHAnsi"/>
          <w:sz w:val="24"/>
          <w:szCs w:val="24"/>
        </w:rPr>
        <w:t xml:space="preserve">the school level </w:t>
      </w:r>
      <w:r w:rsidR="004F4BD2" w:rsidRPr="005D177D">
        <w:rPr>
          <w:rFonts w:cstheme="minorHAnsi"/>
          <w:sz w:val="24"/>
          <w:szCs w:val="24"/>
        </w:rPr>
        <w:t>i.e.,</w:t>
      </w:r>
      <w:r w:rsidRPr="005D177D">
        <w:rPr>
          <w:rFonts w:cstheme="minorHAnsi"/>
          <w:sz w:val="24"/>
          <w:szCs w:val="24"/>
        </w:rPr>
        <w:t xml:space="preserve"> what should be available </w:t>
      </w:r>
      <w:r w:rsidR="00FE7495">
        <w:rPr>
          <w:rFonts w:cstheme="minorHAnsi"/>
          <w:sz w:val="24"/>
          <w:szCs w:val="24"/>
        </w:rPr>
        <w:t>to</w:t>
      </w:r>
      <w:r w:rsidRPr="005D177D">
        <w:rPr>
          <w:rFonts w:cstheme="minorHAnsi"/>
          <w:sz w:val="24"/>
          <w:szCs w:val="24"/>
        </w:rPr>
        <w:t xml:space="preserve"> some and all classrooms and other learning areas</w:t>
      </w:r>
    </w:p>
    <w:p w14:paraId="30664251" w14:textId="5D232AC4" w:rsidR="00E15307" w:rsidRPr="005D177D" w:rsidRDefault="00E15307" w:rsidP="005D177D">
      <w:pPr>
        <w:pStyle w:val="ListParagraph"/>
        <w:numPr>
          <w:ilvl w:val="0"/>
          <w:numId w:val="1"/>
        </w:numPr>
        <w:spacing w:line="360" w:lineRule="auto"/>
        <w:jc w:val="both"/>
        <w:rPr>
          <w:rFonts w:cstheme="minorHAnsi"/>
          <w:sz w:val="24"/>
          <w:szCs w:val="24"/>
        </w:rPr>
      </w:pPr>
      <w:r w:rsidRPr="005D177D">
        <w:rPr>
          <w:rFonts w:cstheme="minorHAnsi"/>
          <w:sz w:val="24"/>
          <w:szCs w:val="24"/>
        </w:rPr>
        <w:t xml:space="preserve">the teacher level </w:t>
      </w:r>
      <w:r w:rsidR="004F4BD2" w:rsidRPr="005D177D">
        <w:rPr>
          <w:rFonts w:cstheme="minorHAnsi"/>
          <w:sz w:val="24"/>
          <w:szCs w:val="24"/>
        </w:rPr>
        <w:t>i.e.,</w:t>
      </w:r>
      <w:r w:rsidRPr="005D177D">
        <w:rPr>
          <w:rFonts w:cstheme="minorHAnsi"/>
          <w:sz w:val="24"/>
          <w:szCs w:val="24"/>
        </w:rPr>
        <w:t xml:space="preserve"> what is appropriate for individual subject teachers and for all teachers </w:t>
      </w:r>
    </w:p>
    <w:p w14:paraId="5E0AF8FD" w14:textId="4F624AF8" w:rsidR="00E15307" w:rsidRPr="005D177D" w:rsidRDefault="00E15307" w:rsidP="005D177D">
      <w:pPr>
        <w:pStyle w:val="ListParagraph"/>
        <w:numPr>
          <w:ilvl w:val="0"/>
          <w:numId w:val="1"/>
        </w:numPr>
        <w:spacing w:line="360" w:lineRule="auto"/>
        <w:jc w:val="both"/>
        <w:rPr>
          <w:rFonts w:cstheme="minorHAnsi"/>
          <w:sz w:val="24"/>
          <w:szCs w:val="24"/>
        </w:rPr>
      </w:pPr>
      <w:r w:rsidRPr="005D177D">
        <w:rPr>
          <w:rFonts w:cstheme="minorHAnsi"/>
          <w:sz w:val="24"/>
          <w:szCs w:val="24"/>
        </w:rPr>
        <w:t xml:space="preserve">the student level </w:t>
      </w:r>
      <w:r w:rsidR="004F4BD2" w:rsidRPr="005D177D">
        <w:rPr>
          <w:rFonts w:cstheme="minorHAnsi"/>
          <w:sz w:val="24"/>
          <w:szCs w:val="24"/>
        </w:rPr>
        <w:t>i.e.,</w:t>
      </w:r>
      <w:r w:rsidRPr="005D177D">
        <w:rPr>
          <w:rFonts w:cstheme="minorHAnsi"/>
          <w:sz w:val="24"/>
          <w:szCs w:val="24"/>
        </w:rPr>
        <w:t xml:space="preserve"> what devices and resources are appropriate and necessary depending on age, level, subject area etc. </w:t>
      </w:r>
    </w:p>
    <w:p w14:paraId="2A285621" w14:textId="77777777" w:rsidR="003076FE" w:rsidRPr="005D177D" w:rsidRDefault="00E15307" w:rsidP="005D177D">
      <w:pPr>
        <w:spacing w:line="360" w:lineRule="auto"/>
        <w:jc w:val="both"/>
        <w:rPr>
          <w:rFonts w:cstheme="minorHAnsi"/>
          <w:sz w:val="24"/>
          <w:szCs w:val="24"/>
        </w:rPr>
      </w:pPr>
      <w:r w:rsidRPr="005D177D">
        <w:rPr>
          <w:rFonts w:cstheme="minorHAnsi"/>
          <w:sz w:val="24"/>
          <w:szCs w:val="24"/>
        </w:rPr>
        <w:t xml:space="preserve"> </w:t>
      </w:r>
    </w:p>
    <w:p w14:paraId="65FEDA66" w14:textId="7FCB0268" w:rsidR="00E15307" w:rsidRPr="005D177D" w:rsidRDefault="00E15307" w:rsidP="005D177D">
      <w:pPr>
        <w:spacing w:line="360" w:lineRule="auto"/>
        <w:jc w:val="both"/>
        <w:rPr>
          <w:rFonts w:cstheme="minorHAnsi"/>
          <w:sz w:val="24"/>
          <w:szCs w:val="24"/>
        </w:rPr>
      </w:pPr>
      <w:r w:rsidRPr="005D177D">
        <w:rPr>
          <w:rFonts w:cstheme="minorHAnsi"/>
          <w:sz w:val="24"/>
          <w:szCs w:val="24"/>
        </w:rPr>
        <w:t xml:space="preserve">The management, review and upgrading of systems, devices and equipment can add further layers of complexity to day-to-day operation in schools.   Particular areas of concern include: </w:t>
      </w:r>
    </w:p>
    <w:p w14:paraId="7D0D68BF" w14:textId="77777777" w:rsidR="00E15307" w:rsidRPr="005D177D" w:rsidRDefault="00E15307" w:rsidP="005D177D">
      <w:pPr>
        <w:pStyle w:val="ListParagraph"/>
        <w:numPr>
          <w:ilvl w:val="0"/>
          <w:numId w:val="2"/>
        </w:numPr>
        <w:spacing w:line="360" w:lineRule="auto"/>
        <w:jc w:val="both"/>
        <w:rPr>
          <w:rFonts w:cstheme="minorHAnsi"/>
          <w:sz w:val="24"/>
          <w:szCs w:val="24"/>
        </w:rPr>
      </w:pPr>
      <w:r w:rsidRPr="005D177D">
        <w:rPr>
          <w:rFonts w:cstheme="minorHAnsi"/>
          <w:i/>
          <w:sz w:val="24"/>
          <w:szCs w:val="24"/>
        </w:rPr>
        <w:t>Storage of data and security</w:t>
      </w:r>
      <w:r w:rsidRPr="005D177D">
        <w:rPr>
          <w:rFonts w:cstheme="minorHAnsi"/>
          <w:sz w:val="24"/>
          <w:szCs w:val="24"/>
        </w:rPr>
        <w:t xml:space="preserve"> - ‘Cloud’ is now commonly advanced as a solution to the effective management of these issues but much has to be explored and tested in this regard.  </w:t>
      </w:r>
    </w:p>
    <w:p w14:paraId="06786499" w14:textId="77777777" w:rsidR="00E15307" w:rsidRPr="005D177D" w:rsidRDefault="00E15307" w:rsidP="005D177D">
      <w:pPr>
        <w:pStyle w:val="ListParagraph"/>
        <w:numPr>
          <w:ilvl w:val="0"/>
          <w:numId w:val="2"/>
        </w:numPr>
        <w:spacing w:line="360" w:lineRule="auto"/>
        <w:jc w:val="both"/>
        <w:rPr>
          <w:rFonts w:cstheme="minorHAnsi"/>
          <w:sz w:val="24"/>
          <w:szCs w:val="24"/>
        </w:rPr>
      </w:pPr>
      <w:r w:rsidRPr="005D177D">
        <w:rPr>
          <w:rFonts w:cstheme="minorHAnsi"/>
          <w:i/>
          <w:sz w:val="24"/>
          <w:szCs w:val="24"/>
        </w:rPr>
        <w:lastRenderedPageBreak/>
        <w:t>Expert advice</w:t>
      </w:r>
      <w:r w:rsidRPr="005D177D">
        <w:rPr>
          <w:rFonts w:cstheme="minorHAnsi"/>
          <w:sz w:val="24"/>
          <w:szCs w:val="24"/>
        </w:rPr>
        <w:t xml:space="preserve"> - School management and staffs need access to expert advice on a wide number of issues including balancing financial management with good decisions about educational needs and day-to-day operation.  </w:t>
      </w:r>
    </w:p>
    <w:p w14:paraId="53B7E2C6" w14:textId="039613C2" w:rsidR="00E15307" w:rsidRPr="005D177D" w:rsidRDefault="00E15307" w:rsidP="005D177D">
      <w:pPr>
        <w:pStyle w:val="ListParagraph"/>
        <w:numPr>
          <w:ilvl w:val="0"/>
          <w:numId w:val="2"/>
        </w:numPr>
        <w:spacing w:line="360" w:lineRule="auto"/>
        <w:jc w:val="both"/>
        <w:rPr>
          <w:rFonts w:cstheme="minorHAnsi"/>
          <w:sz w:val="24"/>
          <w:szCs w:val="24"/>
        </w:rPr>
      </w:pPr>
      <w:r w:rsidRPr="005D177D">
        <w:rPr>
          <w:rFonts w:cstheme="minorHAnsi"/>
          <w:i/>
          <w:sz w:val="24"/>
          <w:szCs w:val="24"/>
        </w:rPr>
        <w:t>Technical support</w:t>
      </w:r>
      <w:r w:rsidRPr="005D177D">
        <w:rPr>
          <w:rFonts w:cstheme="minorHAnsi"/>
          <w:sz w:val="24"/>
          <w:szCs w:val="24"/>
        </w:rPr>
        <w:t xml:space="preserve"> – School staffs will also need access to appropriate technical support and internal co-ordination to ensure effective development and smooth operation </w:t>
      </w:r>
      <w:r w:rsidR="004F4BD2" w:rsidRPr="005D177D">
        <w:rPr>
          <w:rFonts w:cstheme="minorHAnsi"/>
          <w:sz w:val="24"/>
          <w:szCs w:val="24"/>
        </w:rPr>
        <w:t>daily</w:t>
      </w:r>
      <w:r w:rsidRPr="005D177D">
        <w:rPr>
          <w:rFonts w:cstheme="minorHAnsi"/>
          <w:sz w:val="24"/>
          <w:szCs w:val="24"/>
        </w:rPr>
        <w:t xml:space="preserve">. </w:t>
      </w:r>
    </w:p>
    <w:p w14:paraId="3D2F22E9" w14:textId="77777777" w:rsidR="00E15307" w:rsidRPr="005D177D" w:rsidRDefault="00E15307" w:rsidP="005D177D">
      <w:pPr>
        <w:spacing w:after="0" w:line="360" w:lineRule="auto"/>
        <w:jc w:val="both"/>
        <w:rPr>
          <w:rFonts w:cstheme="minorHAnsi"/>
          <w:b/>
          <w:bCs/>
          <w:sz w:val="24"/>
          <w:szCs w:val="24"/>
          <w:u w:val="single"/>
        </w:rPr>
      </w:pPr>
    </w:p>
    <w:p w14:paraId="57B2CAFD" w14:textId="77777777" w:rsidR="00AD3E4A" w:rsidRPr="005D177D" w:rsidRDefault="00AD3E4A" w:rsidP="005D177D">
      <w:pPr>
        <w:spacing w:line="360" w:lineRule="auto"/>
        <w:jc w:val="both"/>
        <w:rPr>
          <w:rFonts w:cstheme="minorHAnsi"/>
          <w:b/>
          <w:iCs/>
          <w:sz w:val="24"/>
          <w:szCs w:val="24"/>
          <w:u w:val="single"/>
        </w:rPr>
      </w:pPr>
      <w:r w:rsidRPr="005D177D">
        <w:rPr>
          <w:rFonts w:cstheme="minorHAnsi"/>
          <w:b/>
          <w:iCs/>
          <w:sz w:val="24"/>
          <w:szCs w:val="24"/>
          <w:u w:val="single"/>
        </w:rPr>
        <w:t>Broadband</w:t>
      </w:r>
    </w:p>
    <w:p w14:paraId="012238EF" w14:textId="77777777" w:rsidR="00AD3E4A" w:rsidRPr="005D177D" w:rsidRDefault="00AD3E4A" w:rsidP="005D177D">
      <w:pPr>
        <w:spacing w:line="360" w:lineRule="auto"/>
        <w:jc w:val="both"/>
        <w:rPr>
          <w:rFonts w:cstheme="minorHAnsi"/>
          <w:bCs/>
          <w:iCs/>
          <w:sz w:val="24"/>
          <w:szCs w:val="24"/>
        </w:rPr>
      </w:pPr>
      <w:r w:rsidRPr="005D177D">
        <w:rPr>
          <w:rFonts w:cstheme="minorHAnsi"/>
          <w:bCs/>
          <w:iCs/>
          <w:sz w:val="24"/>
          <w:szCs w:val="24"/>
        </w:rPr>
        <w:t>It is vitally important that high quality and reliable broadband services be available to communities throughout the State.  It is grossly inequitable that schools and students in some parts of the country cannot access reasonably priced, reliable broadband services.  Provision of such requires a State-owned broadband provider.</w:t>
      </w:r>
    </w:p>
    <w:p w14:paraId="18EEE751" w14:textId="77777777" w:rsidR="00AD3E4A" w:rsidRPr="005D177D" w:rsidRDefault="00AD3E4A" w:rsidP="005D177D">
      <w:pPr>
        <w:spacing w:line="360" w:lineRule="auto"/>
        <w:jc w:val="both"/>
        <w:rPr>
          <w:rFonts w:cstheme="minorHAnsi"/>
          <w:bCs/>
          <w:iCs/>
          <w:sz w:val="24"/>
          <w:szCs w:val="24"/>
        </w:rPr>
      </w:pPr>
    </w:p>
    <w:p w14:paraId="70300D58" w14:textId="77777777" w:rsidR="00AD3E4A" w:rsidRPr="005D177D" w:rsidRDefault="00AD3E4A" w:rsidP="005D177D">
      <w:pPr>
        <w:spacing w:line="360" w:lineRule="auto"/>
        <w:jc w:val="both"/>
        <w:rPr>
          <w:rFonts w:cstheme="minorHAnsi"/>
          <w:b/>
          <w:sz w:val="24"/>
          <w:szCs w:val="24"/>
          <w:u w:val="single"/>
        </w:rPr>
      </w:pPr>
      <w:r w:rsidRPr="005D177D">
        <w:rPr>
          <w:rFonts w:cstheme="minorHAnsi"/>
          <w:b/>
          <w:sz w:val="24"/>
          <w:szCs w:val="24"/>
          <w:u w:val="single"/>
        </w:rPr>
        <w:t xml:space="preserve">Technical and Development Support  </w:t>
      </w:r>
    </w:p>
    <w:p w14:paraId="7E7CE51F" w14:textId="15FCDC04" w:rsidR="00AD3E4A" w:rsidRPr="005D177D" w:rsidRDefault="00AD3E4A" w:rsidP="005D177D">
      <w:pPr>
        <w:spacing w:line="360" w:lineRule="auto"/>
        <w:jc w:val="both"/>
        <w:rPr>
          <w:rFonts w:cstheme="minorHAnsi"/>
          <w:bCs/>
          <w:sz w:val="24"/>
          <w:szCs w:val="24"/>
        </w:rPr>
      </w:pPr>
      <w:r w:rsidRPr="005D177D">
        <w:rPr>
          <w:rFonts w:cstheme="minorHAnsi"/>
          <w:bCs/>
          <w:sz w:val="24"/>
          <w:szCs w:val="24"/>
        </w:rPr>
        <w:t xml:space="preserve">Schools and teachers need support to manage technology effectively and efficiently for educational and administrative functions. In this regard </w:t>
      </w:r>
      <w:r w:rsidR="005132D7" w:rsidRPr="005D177D">
        <w:rPr>
          <w:rFonts w:cstheme="minorHAnsi"/>
          <w:bCs/>
          <w:sz w:val="24"/>
          <w:szCs w:val="24"/>
        </w:rPr>
        <w:t xml:space="preserve">the </w:t>
      </w:r>
      <w:r w:rsidRPr="005D177D">
        <w:rPr>
          <w:rFonts w:cstheme="minorHAnsi"/>
          <w:bCs/>
          <w:sz w:val="24"/>
          <w:szCs w:val="24"/>
        </w:rPr>
        <w:t xml:space="preserve">TUI notes that: </w:t>
      </w:r>
    </w:p>
    <w:p w14:paraId="186ED5B8" w14:textId="77777777" w:rsidR="00AD3E4A" w:rsidRPr="005D177D" w:rsidRDefault="00AD3E4A" w:rsidP="005D177D">
      <w:pPr>
        <w:pStyle w:val="ListParagraph"/>
        <w:numPr>
          <w:ilvl w:val="0"/>
          <w:numId w:val="3"/>
        </w:numPr>
        <w:spacing w:line="360" w:lineRule="auto"/>
        <w:jc w:val="both"/>
        <w:rPr>
          <w:rFonts w:cstheme="minorHAnsi"/>
          <w:sz w:val="24"/>
          <w:szCs w:val="24"/>
        </w:rPr>
      </w:pPr>
      <w:r w:rsidRPr="005D177D">
        <w:rPr>
          <w:rFonts w:cstheme="minorHAnsi"/>
          <w:sz w:val="24"/>
          <w:szCs w:val="24"/>
        </w:rPr>
        <w:t xml:space="preserve">Access to technical support, experts and specialists will be crucial </w:t>
      </w:r>
    </w:p>
    <w:p w14:paraId="6F09A645" w14:textId="77A2D0DC" w:rsidR="00AD3E4A" w:rsidRPr="005D177D" w:rsidRDefault="00AD3E4A" w:rsidP="005D177D">
      <w:pPr>
        <w:pStyle w:val="ListParagraph"/>
        <w:numPr>
          <w:ilvl w:val="0"/>
          <w:numId w:val="3"/>
        </w:numPr>
        <w:spacing w:line="360" w:lineRule="auto"/>
        <w:jc w:val="both"/>
        <w:rPr>
          <w:rFonts w:cstheme="minorHAnsi"/>
          <w:sz w:val="24"/>
          <w:szCs w:val="24"/>
        </w:rPr>
      </w:pPr>
      <w:r w:rsidRPr="005D177D">
        <w:rPr>
          <w:rFonts w:cstheme="minorHAnsi"/>
          <w:sz w:val="24"/>
          <w:szCs w:val="24"/>
        </w:rPr>
        <w:t xml:space="preserve">The level of support required will depend on the nature and extent of the issue to </w:t>
      </w:r>
      <w:r w:rsidR="004F4BD2" w:rsidRPr="005D177D">
        <w:rPr>
          <w:rFonts w:cstheme="minorHAnsi"/>
          <w:sz w:val="24"/>
          <w:szCs w:val="24"/>
        </w:rPr>
        <w:t>be addressed</w:t>
      </w:r>
      <w:r w:rsidRPr="005D177D">
        <w:rPr>
          <w:rFonts w:cstheme="minorHAnsi"/>
          <w:sz w:val="24"/>
          <w:szCs w:val="24"/>
        </w:rPr>
        <w:t xml:space="preserve"> and resolved </w:t>
      </w:r>
    </w:p>
    <w:p w14:paraId="603C8845" w14:textId="77777777" w:rsidR="00AD3E4A" w:rsidRPr="005D177D" w:rsidRDefault="00AD3E4A" w:rsidP="005D177D">
      <w:pPr>
        <w:pStyle w:val="ListParagraph"/>
        <w:numPr>
          <w:ilvl w:val="0"/>
          <w:numId w:val="3"/>
        </w:numPr>
        <w:spacing w:line="360" w:lineRule="auto"/>
        <w:jc w:val="both"/>
        <w:rPr>
          <w:rFonts w:cstheme="minorHAnsi"/>
          <w:sz w:val="24"/>
          <w:szCs w:val="24"/>
        </w:rPr>
      </w:pPr>
      <w:r w:rsidRPr="005D177D">
        <w:rPr>
          <w:rFonts w:cstheme="minorHAnsi"/>
          <w:sz w:val="24"/>
          <w:szCs w:val="24"/>
        </w:rPr>
        <w:t xml:space="preserve">Support must be appropriate, responsive and timely </w:t>
      </w:r>
    </w:p>
    <w:p w14:paraId="0D44ABCA" w14:textId="77777777" w:rsidR="00AD3E4A" w:rsidRPr="005D177D" w:rsidRDefault="00AD3E4A" w:rsidP="005D177D">
      <w:pPr>
        <w:pStyle w:val="ListParagraph"/>
        <w:numPr>
          <w:ilvl w:val="0"/>
          <w:numId w:val="3"/>
        </w:numPr>
        <w:spacing w:line="360" w:lineRule="auto"/>
        <w:jc w:val="both"/>
        <w:rPr>
          <w:rFonts w:cstheme="minorHAnsi"/>
          <w:sz w:val="24"/>
          <w:szCs w:val="24"/>
        </w:rPr>
      </w:pPr>
      <w:r w:rsidRPr="005D177D">
        <w:rPr>
          <w:rFonts w:cstheme="minorHAnsi"/>
          <w:sz w:val="24"/>
          <w:szCs w:val="24"/>
        </w:rPr>
        <w:t xml:space="preserve">A blend of on-line and face-to-face support and access to on-site and off-site specialists will be necessary   </w:t>
      </w:r>
    </w:p>
    <w:p w14:paraId="1E7F2D5E" w14:textId="77777777" w:rsidR="00AD3E4A" w:rsidRPr="005D177D" w:rsidRDefault="00AD3E4A" w:rsidP="005D177D">
      <w:pPr>
        <w:pStyle w:val="ListParagraph"/>
        <w:numPr>
          <w:ilvl w:val="0"/>
          <w:numId w:val="3"/>
        </w:numPr>
        <w:spacing w:line="360" w:lineRule="auto"/>
        <w:jc w:val="both"/>
        <w:rPr>
          <w:rFonts w:cstheme="minorHAnsi"/>
          <w:sz w:val="24"/>
          <w:szCs w:val="24"/>
        </w:rPr>
      </w:pPr>
      <w:r w:rsidRPr="005D177D">
        <w:rPr>
          <w:rFonts w:cstheme="minorHAnsi"/>
          <w:sz w:val="24"/>
          <w:szCs w:val="24"/>
        </w:rPr>
        <w:t xml:space="preserve">As with broadband, connectivity and equipment issues specific, additional budgets must be made available to schools to meet technical support costs.     </w:t>
      </w:r>
    </w:p>
    <w:p w14:paraId="1E1D30A4" w14:textId="77777777" w:rsidR="003076FE" w:rsidRPr="005D177D" w:rsidRDefault="003076FE" w:rsidP="005D177D">
      <w:pPr>
        <w:spacing w:line="360" w:lineRule="auto"/>
        <w:jc w:val="both"/>
        <w:rPr>
          <w:rFonts w:cstheme="minorHAnsi"/>
          <w:sz w:val="24"/>
          <w:szCs w:val="24"/>
        </w:rPr>
      </w:pPr>
    </w:p>
    <w:p w14:paraId="0FFC1F7B" w14:textId="7A5FB94F" w:rsidR="00AD3E4A" w:rsidRPr="005D177D" w:rsidRDefault="003076FE" w:rsidP="005D177D">
      <w:pPr>
        <w:spacing w:line="360" w:lineRule="auto"/>
        <w:jc w:val="both"/>
        <w:rPr>
          <w:rFonts w:cstheme="minorHAnsi"/>
          <w:sz w:val="24"/>
          <w:szCs w:val="24"/>
        </w:rPr>
      </w:pPr>
      <w:r w:rsidRPr="005D177D">
        <w:rPr>
          <w:rFonts w:cstheme="minorHAnsi"/>
          <w:sz w:val="24"/>
          <w:szCs w:val="24"/>
        </w:rPr>
        <w:t xml:space="preserve">The </w:t>
      </w:r>
      <w:r w:rsidR="00AD3E4A" w:rsidRPr="005D177D">
        <w:rPr>
          <w:rFonts w:cstheme="minorHAnsi"/>
          <w:sz w:val="24"/>
          <w:szCs w:val="24"/>
        </w:rPr>
        <w:t>TUI advocates that local businesses with adequate expertise and capacity be eligible to complete</w:t>
      </w:r>
      <w:r w:rsidR="005132D7" w:rsidRPr="005D177D">
        <w:rPr>
          <w:rFonts w:cstheme="minorHAnsi"/>
          <w:sz w:val="24"/>
          <w:szCs w:val="24"/>
        </w:rPr>
        <w:t xml:space="preserve"> </w:t>
      </w:r>
      <w:r w:rsidR="00AD3E4A" w:rsidRPr="005D177D">
        <w:rPr>
          <w:rFonts w:cstheme="minorHAnsi"/>
          <w:sz w:val="24"/>
          <w:szCs w:val="24"/>
        </w:rPr>
        <w:t xml:space="preserve">installation work and provide technical support to schools as this builds local relationships which are often invaluable. However, external support and guidance should be </w:t>
      </w:r>
      <w:r w:rsidR="00AD3E4A" w:rsidRPr="005D177D">
        <w:rPr>
          <w:rFonts w:cstheme="minorHAnsi"/>
          <w:sz w:val="24"/>
          <w:szCs w:val="24"/>
        </w:rPr>
        <w:lastRenderedPageBreak/>
        <w:t xml:space="preserve">available to schools in managing procurements, tenders, selection, installation, upgrading etc. </w:t>
      </w:r>
      <w:r w:rsidR="00FE7495">
        <w:rPr>
          <w:rFonts w:cstheme="minorHAnsi"/>
          <w:sz w:val="24"/>
          <w:szCs w:val="24"/>
        </w:rPr>
        <w:t>It is important to note that local business often provide ancillary supports to schools that cannot be part of a tender process e.g. providing work experience to students, or sponsoring prizes for fetes and festivals.</w:t>
      </w:r>
    </w:p>
    <w:p w14:paraId="604EFA41" w14:textId="77777777" w:rsidR="003076FE" w:rsidRPr="00FE7495" w:rsidRDefault="003076FE" w:rsidP="005D177D">
      <w:pPr>
        <w:spacing w:line="360" w:lineRule="auto"/>
        <w:jc w:val="both"/>
        <w:rPr>
          <w:rFonts w:cstheme="minorHAnsi"/>
          <w:bCs/>
          <w:iCs/>
          <w:sz w:val="24"/>
          <w:szCs w:val="24"/>
        </w:rPr>
      </w:pPr>
    </w:p>
    <w:p w14:paraId="56506B3A" w14:textId="5AF9FCE8" w:rsidR="00AD3E4A" w:rsidRPr="005D177D" w:rsidRDefault="005132D7" w:rsidP="005D177D">
      <w:pPr>
        <w:spacing w:line="360" w:lineRule="auto"/>
        <w:jc w:val="both"/>
        <w:rPr>
          <w:rFonts w:cstheme="minorHAnsi"/>
          <w:sz w:val="24"/>
          <w:szCs w:val="24"/>
        </w:rPr>
      </w:pPr>
      <w:r w:rsidRPr="005D177D">
        <w:rPr>
          <w:rFonts w:cstheme="minorHAnsi"/>
          <w:bCs/>
          <w:iCs/>
          <w:sz w:val="24"/>
          <w:szCs w:val="24"/>
        </w:rPr>
        <w:t xml:space="preserve">The </w:t>
      </w:r>
      <w:r w:rsidR="00AD3E4A" w:rsidRPr="005D177D">
        <w:rPr>
          <w:rFonts w:cstheme="minorHAnsi"/>
          <w:bCs/>
          <w:iCs/>
          <w:sz w:val="24"/>
          <w:szCs w:val="24"/>
        </w:rPr>
        <w:t>TUI con</w:t>
      </w:r>
      <w:r w:rsidR="00AD3E4A" w:rsidRPr="005D177D">
        <w:rPr>
          <w:rFonts w:cstheme="minorHAnsi"/>
          <w:bCs/>
          <w:sz w:val="24"/>
          <w:szCs w:val="24"/>
        </w:rPr>
        <w:t>siders that ICT advisors at school level must be re-instated.</w:t>
      </w:r>
      <w:r w:rsidR="00AD3E4A" w:rsidRPr="005D177D">
        <w:rPr>
          <w:rFonts w:cstheme="minorHAnsi"/>
          <w:sz w:val="24"/>
          <w:szCs w:val="24"/>
        </w:rPr>
        <w:t xml:space="preserve"> Like many curriculum and pedagogical initiatives, the development and promotion of technology in teaching and learning will be best served by an ambassador (more than one in larger school</w:t>
      </w:r>
      <w:r w:rsidRPr="005D177D">
        <w:rPr>
          <w:rFonts w:cstheme="minorHAnsi"/>
          <w:sz w:val="24"/>
          <w:szCs w:val="24"/>
        </w:rPr>
        <w:t>s</w:t>
      </w:r>
      <w:r w:rsidR="00AD3E4A" w:rsidRPr="005D177D">
        <w:rPr>
          <w:rFonts w:cstheme="minorHAnsi"/>
          <w:sz w:val="24"/>
          <w:szCs w:val="24"/>
        </w:rPr>
        <w:t xml:space="preserve">). Such a person would dedicate specific expertise and time to developing and building other teachers’ capacity in their independent and shared endeavours. The decision in 2008 to discontinue ICT advisors was short sighted. It should be reversed, especially in the context of the significant reduction in </w:t>
      </w:r>
      <w:r w:rsidR="006A385C" w:rsidRPr="005D177D">
        <w:rPr>
          <w:rFonts w:cstheme="minorHAnsi"/>
          <w:sz w:val="24"/>
          <w:szCs w:val="24"/>
        </w:rPr>
        <w:t>middle</w:t>
      </w:r>
      <w:r w:rsidR="00AD3E4A" w:rsidRPr="005D177D">
        <w:rPr>
          <w:rFonts w:cstheme="minorHAnsi"/>
          <w:sz w:val="24"/>
          <w:szCs w:val="24"/>
        </w:rPr>
        <w:t xml:space="preserve"> management posts in schools since 2008.  </w:t>
      </w:r>
      <w:r w:rsidR="006A385C" w:rsidRPr="005D177D">
        <w:rPr>
          <w:rFonts w:cstheme="minorHAnsi"/>
          <w:sz w:val="24"/>
          <w:szCs w:val="24"/>
        </w:rPr>
        <w:t>Recent changes in middle management posts (Circular 3/2018</w:t>
      </w:r>
      <w:r w:rsidR="00FE7495">
        <w:rPr>
          <w:rFonts w:cstheme="minorHAnsi"/>
          <w:sz w:val="24"/>
          <w:szCs w:val="24"/>
        </w:rPr>
        <w:t>, 23/2021</w:t>
      </w:r>
      <w:r w:rsidR="006A385C" w:rsidRPr="005D177D">
        <w:rPr>
          <w:rFonts w:cstheme="minorHAnsi"/>
          <w:sz w:val="24"/>
          <w:szCs w:val="24"/>
        </w:rPr>
        <w:t xml:space="preserve">) are just a very small step in restoring support.  However, a much larger move in terms of restoration of both is also needed.  </w:t>
      </w:r>
      <w:r w:rsidR="00AD3E4A" w:rsidRPr="005D177D">
        <w:rPr>
          <w:rFonts w:cstheme="minorHAnsi"/>
          <w:sz w:val="24"/>
          <w:szCs w:val="24"/>
        </w:rPr>
        <w:t>Day-to-day on</w:t>
      </w:r>
      <w:r w:rsidR="00FE7495">
        <w:rPr>
          <w:rFonts w:cstheme="minorHAnsi"/>
          <w:sz w:val="24"/>
          <w:szCs w:val="24"/>
        </w:rPr>
        <w:t>-</w:t>
      </w:r>
      <w:r w:rsidR="00AD3E4A" w:rsidRPr="005D177D">
        <w:rPr>
          <w:rFonts w:cstheme="minorHAnsi"/>
          <w:sz w:val="24"/>
          <w:szCs w:val="24"/>
        </w:rPr>
        <w:t>site guidance and development support is important to grow capacity within schools among staffs.  Someone (or more depending on school size) needs to have dedicated time on a day-to</w:t>
      </w:r>
      <w:r w:rsidR="00FE7495">
        <w:rPr>
          <w:rFonts w:cstheme="minorHAnsi"/>
          <w:sz w:val="24"/>
          <w:szCs w:val="24"/>
        </w:rPr>
        <w:t>-</w:t>
      </w:r>
      <w:r w:rsidR="00AD3E4A" w:rsidRPr="005D177D">
        <w:rPr>
          <w:rFonts w:cstheme="minorHAnsi"/>
          <w:sz w:val="24"/>
          <w:szCs w:val="24"/>
        </w:rPr>
        <w:t xml:space="preserve">day basis to focus on sustaining development, bringing new ideas to attention of staff and supporting the general integration of ICT in schools on an on-going basis. </w:t>
      </w:r>
    </w:p>
    <w:p w14:paraId="662E7D17" w14:textId="77777777" w:rsidR="00AD3E4A" w:rsidRPr="005D177D" w:rsidRDefault="00AD3E4A" w:rsidP="005D177D">
      <w:pPr>
        <w:spacing w:line="360" w:lineRule="auto"/>
        <w:jc w:val="both"/>
        <w:rPr>
          <w:rFonts w:cstheme="minorHAnsi"/>
          <w:b/>
          <w:sz w:val="24"/>
          <w:szCs w:val="24"/>
          <w:u w:val="single"/>
        </w:rPr>
      </w:pPr>
    </w:p>
    <w:p w14:paraId="2081C036" w14:textId="77777777" w:rsidR="00AD3E4A" w:rsidRPr="005D177D" w:rsidRDefault="00AD3E4A" w:rsidP="005D177D">
      <w:pPr>
        <w:spacing w:line="360" w:lineRule="auto"/>
        <w:jc w:val="both"/>
        <w:rPr>
          <w:rFonts w:cstheme="minorHAnsi"/>
          <w:b/>
          <w:sz w:val="24"/>
          <w:szCs w:val="24"/>
          <w:u w:val="single"/>
        </w:rPr>
      </w:pPr>
      <w:r w:rsidRPr="005D177D">
        <w:rPr>
          <w:rFonts w:cstheme="minorHAnsi"/>
          <w:b/>
          <w:sz w:val="24"/>
          <w:szCs w:val="24"/>
          <w:u w:val="single"/>
        </w:rPr>
        <w:t xml:space="preserve">Teacher Professional Learning and Development </w:t>
      </w:r>
    </w:p>
    <w:p w14:paraId="2CB79DD4" w14:textId="66EA7B47" w:rsidR="00AD3E4A" w:rsidRPr="005D177D" w:rsidRDefault="00AD3E4A" w:rsidP="005D177D">
      <w:pPr>
        <w:spacing w:line="360" w:lineRule="auto"/>
        <w:jc w:val="both"/>
        <w:rPr>
          <w:rFonts w:cstheme="minorHAnsi"/>
          <w:sz w:val="24"/>
          <w:szCs w:val="24"/>
        </w:rPr>
      </w:pPr>
      <w:r w:rsidRPr="005D177D">
        <w:rPr>
          <w:rFonts w:cstheme="minorHAnsi"/>
          <w:sz w:val="24"/>
          <w:szCs w:val="24"/>
        </w:rPr>
        <w:t xml:space="preserve">Classrooms, and the student learning and development therein, are about building and enhancing relationships, attitudes, </w:t>
      </w:r>
      <w:r w:rsidR="004F4BD2" w:rsidRPr="005D177D">
        <w:rPr>
          <w:rFonts w:cstheme="minorHAnsi"/>
          <w:sz w:val="24"/>
          <w:szCs w:val="24"/>
        </w:rPr>
        <w:t>understandings</w:t>
      </w:r>
      <w:r w:rsidRPr="005D177D">
        <w:rPr>
          <w:rFonts w:cstheme="minorHAnsi"/>
          <w:sz w:val="24"/>
          <w:szCs w:val="24"/>
        </w:rPr>
        <w:t xml:space="preserve"> and perspectives; computers, digital and online devices, tools and programmes are not equipped to do this profoundly human work. </w:t>
      </w:r>
      <w:r w:rsidR="00BB5C53">
        <w:rPr>
          <w:rFonts w:cstheme="minorHAnsi"/>
          <w:sz w:val="24"/>
          <w:szCs w:val="24"/>
        </w:rPr>
        <w:t>ERTL has clearly shown that the teacher is the essential factor in teaching.  Technology is the tool to facilitate that, whether in-person or remotely, but the teacher is irreplaceable.</w:t>
      </w:r>
      <w:r w:rsidRPr="005D177D">
        <w:rPr>
          <w:rFonts w:cstheme="minorHAnsi"/>
          <w:sz w:val="24"/>
          <w:szCs w:val="24"/>
        </w:rPr>
        <w:t xml:space="preserve"> </w:t>
      </w:r>
      <w:r w:rsidR="00BB5C53">
        <w:rPr>
          <w:rFonts w:cstheme="minorHAnsi"/>
          <w:sz w:val="24"/>
          <w:szCs w:val="24"/>
        </w:rPr>
        <w:t xml:space="preserve"> R</w:t>
      </w:r>
      <w:r w:rsidRPr="005D177D">
        <w:rPr>
          <w:rFonts w:cstheme="minorHAnsi"/>
          <w:sz w:val="24"/>
          <w:szCs w:val="24"/>
        </w:rPr>
        <w:t xml:space="preserve">esponsibility for the essence of what </w:t>
      </w:r>
      <w:r w:rsidR="006A385C" w:rsidRPr="005D177D">
        <w:rPr>
          <w:rFonts w:cstheme="minorHAnsi"/>
          <w:sz w:val="24"/>
          <w:szCs w:val="24"/>
        </w:rPr>
        <w:t xml:space="preserve">is </w:t>
      </w:r>
      <w:r w:rsidRPr="005D177D">
        <w:rPr>
          <w:rFonts w:cstheme="minorHAnsi"/>
          <w:sz w:val="24"/>
          <w:szCs w:val="24"/>
        </w:rPr>
        <w:t xml:space="preserve">going on in schools and classroom rests in the hands, hearts and mind of the school </w:t>
      </w:r>
      <w:r w:rsidR="004F4BD2" w:rsidRPr="005D177D">
        <w:rPr>
          <w:rFonts w:cstheme="minorHAnsi"/>
          <w:sz w:val="24"/>
          <w:szCs w:val="24"/>
        </w:rPr>
        <w:t>staff,</w:t>
      </w:r>
      <w:r w:rsidRPr="005D177D">
        <w:rPr>
          <w:rFonts w:cstheme="minorHAnsi"/>
          <w:sz w:val="24"/>
          <w:szCs w:val="24"/>
        </w:rPr>
        <w:t xml:space="preserve"> especially the classroom teacher; a role th</w:t>
      </w:r>
      <w:r w:rsidR="006A385C" w:rsidRPr="005D177D">
        <w:rPr>
          <w:rFonts w:cstheme="minorHAnsi"/>
          <w:sz w:val="24"/>
          <w:szCs w:val="24"/>
        </w:rPr>
        <w:t>at</w:t>
      </w:r>
      <w:r w:rsidRPr="005D177D">
        <w:rPr>
          <w:rFonts w:cstheme="minorHAnsi"/>
          <w:sz w:val="24"/>
          <w:szCs w:val="24"/>
        </w:rPr>
        <w:t xml:space="preserve"> can never be replaced by even the best technology. </w:t>
      </w:r>
    </w:p>
    <w:p w14:paraId="6D6BE456" w14:textId="77777777" w:rsidR="003076FE" w:rsidRPr="005D177D" w:rsidRDefault="003076FE" w:rsidP="005D177D">
      <w:pPr>
        <w:spacing w:line="360" w:lineRule="auto"/>
        <w:jc w:val="both"/>
        <w:rPr>
          <w:rFonts w:cstheme="minorHAnsi"/>
          <w:sz w:val="24"/>
          <w:szCs w:val="24"/>
        </w:rPr>
      </w:pPr>
    </w:p>
    <w:p w14:paraId="1B2E8910" w14:textId="7AB7254C" w:rsidR="00AD3E4A" w:rsidRPr="005D177D" w:rsidRDefault="00AD3E4A" w:rsidP="005D177D">
      <w:pPr>
        <w:spacing w:line="360" w:lineRule="auto"/>
        <w:jc w:val="both"/>
        <w:rPr>
          <w:rFonts w:cstheme="minorHAnsi"/>
          <w:sz w:val="24"/>
          <w:szCs w:val="24"/>
        </w:rPr>
      </w:pPr>
      <w:r w:rsidRPr="005D177D">
        <w:rPr>
          <w:rFonts w:cstheme="minorHAnsi"/>
          <w:sz w:val="24"/>
          <w:szCs w:val="24"/>
        </w:rPr>
        <w:t>Technology is but another tool to aid teaching and learning. Albeit important</w:t>
      </w:r>
      <w:r w:rsidR="006A385C" w:rsidRPr="005D177D">
        <w:rPr>
          <w:rFonts w:cstheme="minorHAnsi"/>
          <w:sz w:val="24"/>
          <w:szCs w:val="24"/>
        </w:rPr>
        <w:t>,</w:t>
      </w:r>
      <w:r w:rsidRPr="005D177D">
        <w:rPr>
          <w:rFonts w:cstheme="minorHAnsi"/>
          <w:sz w:val="24"/>
          <w:szCs w:val="24"/>
        </w:rPr>
        <w:t xml:space="preserve"> it should not completely displace other teaching aids and tools - quite the contrary, technology should complement and enhance other teaching supports and the teachers’ expertise to varying degrees depending on the context, emphasis and content etc.  The important thing is that teachers are supported in understanding, accessing and using ICT as one of many tools in the teaching and learning process and managing it well. </w:t>
      </w:r>
      <w:r w:rsidR="003076FE" w:rsidRPr="005D177D">
        <w:rPr>
          <w:rFonts w:cstheme="minorHAnsi"/>
          <w:sz w:val="24"/>
          <w:szCs w:val="24"/>
        </w:rPr>
        <w:t xml:space="preserve">The </w:t>
      </w:r>
      <w:r w:rsidRPr="005D177D">
        <w:rPr>
          <w:rFonts w:cstheme="minorHAnsi"/>
          <w:sz w:val="24"/>
          <w:szCs w:val="24"/>
        </w:rPr>
        <w:t xml:space="preserve">TUI considers that: </w:t>
      </w:r>
    </w:p>
    <w:p w14:paraId="17BC05C3" w14:textId="77777777"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Teachers need on-going access to timely and responsive professional learning and development opportunities as ICT and digital mediums evolve.  </w:t>
      </w:r>
    </w:p>
    <w:p w14:paraId="2335D78B" w14:textId="77777777"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A mix of basic and advanced courses and associated resources will always be necessary; ICT is ever evolving (with speed!) and teachers will come to the learning at various stages of development and with various levels of prior knowledge and understanding. </w:t>
      </w:r>
    </w:p>
    <w:p w14:paraId="639AB0D5" w14:textId="5214C4A0"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While there will be a strong focus on the ICT med</w:t>
      </w:r>
      <w:r w:rsidR="006A385C" w:rsidRPr="005D177D">
        <w:rPr>
          <w:rFonts w:cstheme="minorHAnsi"/>
          <w:sz w:val="24"/>
          <w:szCs w:val="24"/>
        </w:rPr>
        <w:t>ia</w:t>
      </w:r>
      <w:r w:rsidRPr="005D177D">
        <w:rPr>
          <w:rFonts w:cstheme="minorHAnsi"/>
          <w:sz w:val="24"/>
          <w:szCs w:val="24"/>
        </w:rPr>
        <w:t xml:space="preserve"> or digital devices and their capabilities there must also be a strong and appropriate focus on curriculum, pedagogical and assessment practices.   </w:t>
      </w:r>
    </w:p>
    <w:p w14:paraId="407EC434" w14:textId="77777777"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A minimum level of courses, seminars, materials and equipment must be available, cost neutral, to individual teachers and schools. Some teachers may commit to further engagement depending on interest and relevance. </w:t>
      </w:r>
    </w:p>
    <w:p w14:paraId="5A39DD26" w14:textId="3FB4050E"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Courses must be accessible in terms of timing, time involved and location.   </w:t>
      </w:r>
      <w:r w:rsidR="00FD4291" w:rsidRPr="005D177D">
        <w:rPr>
          <w:rFonts w:cstheme="minorHAnsi"/>
          <w:sz w:val="24"/>
          <w:szCs w:val="24"/>
        </w:rPr>
        <w:t>There must not be pressure on teachers to attend CPD which is held outside of traditional working hours.</w:t>
      </w:r>
    </w:p>
    <w:p w14:paraId="78E5E7F9" w14:textId="69FD9DDB"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A blend of on-line and face-to-face approaches will be important – appropriateness will be dictated by a number of factors </w:t>
      </w:r>
      <w:r w:rsidR="004F4BD2" w:rsidRPr="005D177D">
        <w:rPr>
          <w:rFonts w:cstheme="minorHAnsi"/>
          <w:sz w:val="24"/>
          <w:szCs w:val="24"/>
        </w:rPr>
        <w:t>e.g.,</w:t>
      </w:r>
      <w:r w:rsidRPr="005D177D">
        <w:rPr>
          <w:rFonts w:cstheme="minorHAnsi"/>
          <w:sz w:val="24"/>
          <w:szCs w:val="24"/>
        </w:rPr>
        <w:t xml:space="preserve"> themes, prior knowledge, time available. </w:t>
      </w:r>
    </w:p>
    <w:p w14:paraId="27012E40" w14:textId="77777777" w:rsidR="00AD3E4A" w:rsidRPr="005D177D" w:rsidRDefault="00AD3E4A"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 xml:space="preserve">Off-site opportunities will be important to encourage wider face-to face networking and exchange of practice and ideas. On-site opportunities will enable whole-school collaboration and development and lead to internal efficiencies at school level.  </w:t>
      </w:r>
    </w:p>
    <w:p w14:paraId="73580B37" w14:textId="5606A2D0" w:rsidR="00AD3E4A" w:rsidRPr="005D177D" w:rsidRDefault="006A385C" w:rsidP="005D177D">
      <w:pPr>
        <w:pStyle w:val="ListParagraph"/>
        <w:numPr>
          <w:ilvl w:val="0"/>
          <w:numId w:val="8"/>
        </w:numPr>
        <w:spacing w:line="360" w:lineRule="auto"/>
        <w:jc w:val="both"/>
        <w:rPr>
          <w:rFonts w:cstheme="minorHAnsi"/>
          <w:sz w:val="24"/>
          <w:szCs w:val="24"/>
        </w:rPr>
      </w:pPr>
      <w:r w:rsidRPr="005D177D">
        <w:rPr>
          <w:rFonts w:cstheme="minorHAnsi"/>
          <w:sz w:val="24"/>
          <w:szCs w:val="24"/>
        </w:rPr>
        <w:t>The p</w:t>
      </w:r>
      <w:r w:rsidR="00AD3E4A" w:rsidRPr="005D177D">
        <w:rPr>
          <w:rFonts w:cstheme="minorHAnsi"/>
          <w:sz w:val="24"/>
          <w:szCs w:val="24"/>
        </w:rPr>
        <w:t xml:space="preserve">rincipal teacher should have flexibility in enabling teachers to pursue off-site learning programmes and seminars and supporting whole-school or subject department activities.  </w:t>
      </w:r>
    </w:p>
    <w:p w14:paraId="59BE59C1" w14:textId="77777777" w:rsidR="00AD3E4A" w:rsidRPr="005D177D" w:rsidRDefault="00AD3E4A" w:rsidP="005D177D">
      <w:pPr>
        <w:spacing w:after="0" w:line="360" w:lineRule="auto"/>
        <w:jc w:val="both"/>
        <w:rPr>
          <w:rFonts w:cstheme="minorHAnsi"/>
          <w:b/>
          <w:bCs/>
          <w:sz w:val="24"/>
          <w:szCs w:val="24"/>
          <w:u w:val="single"/>
        </w:rPr>
      </w:pPr>
    </w:p>
    <w:p w14:paraId="73141B9E" w14:textId="77777777" w:rsidR="00413BDF" w:rsidRPr="005D177D" w:rsidRDefault="00413BDF" w:rsidP="005D177D">
      <w:pPr>
        <w:spacing w:after="0" w:line="360" w:lineRule="auto"/>
        <w:jc w:val="both"/>
        <w:rPr>
          <w:rFonts w:cstheme="minorHAnsi"/>
          <w:sz w:val="24"/>
          <w:szCs w:val="24"/>
        </w:rPr>
      </w:pPr>
      <w:r w:rsidRPr="005D177D">
        <w:rPr>
          <w:rFonts w:cstheme="minorHAnsi"/>
          <w:b/>
          <w:bCs/>
          <w:sz w:val="24"/>
          <w:szCs w:val="24"/>
          <w:u w:val="single"/>
        </w:rPr>
        <w:t>Workload</w:t>
      </w:r>
      <w:r w:rsidRPr="005D177D">
        <w:rPr>
          <w:rFonts w:cstheme="minorHAnsi"/>
          <w:sz w:val="24"/>
          <w:szCs w:val="24"/>
        </w:rPr>
        <w:t xml:space="preserve"> </w:t>
      </w:r>
    </w:p>
    <w:p w14:paraId="19C53F07" w14:textId="2C325098" w:rsidR="00413BDF" w:rsidRPr="005D177D" w:rsidRDefault="00413BDF" w:rsidP="005D177D">
      <w:pPr>
        <w:spacing w:after="0" w:line="360" w:lineRule="auto"/>
        <w:jc w:val="both"/>
        <w:rPr>
          <w:rFonts w:cstheme="minorHAnsi"/>
          <w:sz w:val="24"/>
          <w:szCs w:val="24"/>
        </w:rPr>
      </w:pPr>
      <w:r w:rsidRPr="005D177D">
        <w:rPr>
          <w:rFonts w:cstheme="minorHAnsi"/>
          <w:sz w:val="24"/>
          <w:szCs w:val="24"/>
        </w:rPr>
        <w:t>Across all sectors of the education system, years of under-resourcing and under-staffing have resulted in unsustainable workloads, only added to by unnecessary and burdensome bureaucratic distractions from the central activities of teaching and learning.  The TUI will not allow anyone to use Covid</w:t>
      </w:r>
      <w:r w:rsidR="00E41D6D" w:rsidRPr="005D177D">
        <w:rPr>
          <w:rFonts w:cstheme="minorHAnsi"/>
          <w:sz w:val="24"/>
          <w:szCs w:val="24"/>
        </w:rPr>
        <w:t>, or indeed the implementation of new ICT systems/processes/procedures</w:t>
      </w:r>
      <w:r w:rsidRPr="005D177D">
        <w:rPr>
          <w:rFonts w:cstheme="minorHAnsi"/>
          <w:sz w:val="24"/>
          <w:szCs w:val="24"/>
        </w:rPr>
        <w:t xml:space="preserve"> as an excuse to increase our members</w:t>
      </w:r>
      <w:r w:rsidR="006A385C" w:rsidRPr="005D177D">
        <w:rPr>
          <w:rFonts w:cstheme="minorHAnsi"/>
          <w:sz w:val="24"/>
          <w:szCs w:val="24"/>
        </w:rPr>
        <w:t>’</w:t>
      </w:r>
      <w:r w:rsidRPr="005D177D">
        <w:rPr>
          <w:rFonts w:cstheme="minorHAnsi"/>
          <w:sz w:val="24"/>
          <w:szCs w:val="24"/>
        </w:rPr>
        <w:t xml:space="preserve"> already unsustainable workload.</w:t>
      </w:r>
    </w:p>
    <w:p w14:paraId="566C42CC" w14:textId="77777777" w:rsidR="00413BDF" w:rsidRPr="005D177D" w:rsidRDefault="00413BDF" w:rsidP="005D177D">
      <w:pPr>
        <w:spacing w:after="0" w:line="360" w:lineRule="auto"/>
        <w:jc w:val="both"/>
        <w:rPr>
          <w:rFonts w:cstheme="minorHAnsi"/>
          <w:sz w:val="24"/>
          <w:szCs w:val="24"/>
        </w:rPr>
      </w:pPr>
    </w:p>
    <w:p w14:paraId="4389E3EE" w14:textId="3F0FA651" w:rsidR="00B54CA7" w:rsidRPr="005D177D" w:rsidRDefault="00B54CA7" w:rsidP="005D177D">
      <w:pPr>
        <w:spacing w:after="0" w:line="360" w:lineRule="auto"/>
        <w:jc w:val="both"/>
        <w:rPr>
          <w:rFonts w:cstheme="minorHAnsi"/>
          <w:b/>
          <w:bCs/>
          <w:sz w:val="24"/>
          <w:szCs w:val="24"/>
          <w:u w:val="single"/>
        </w:rPr>
      </w:pPr>
      <w:r w:rsidRPr="005D177D">
        <w:rPr>
          <w:rFonts w:cstheme="minorHAnsi"/>
          <w:b/>
          <w:bCs/>
          <w:sz w:val="24"/>
          <w:szCs w:val="24"/>
          <w:u w:val="single"/>
        </w:rPr>
        <w:t>TUI Survey Results</w:t>
      </w:r>
    </w:p>
    <w:p w14:paraId="1C873049" w14:textId="77777777" w:rsidR="003D0495" w:rsidRPr="005D177D" w:rsidRDefault="00E41D6D" w:rsidP="005D177D">
      <w:pPr>
        <w:spacing w:after="0" w:line="360" w:lineRule="auto"/>
        <w:jc w:val="both"/>
        <w:rPr>
          <w:rFonts w:cstheme="minorHAnsi"/>
          <w:sz w:val="24"/>
          <w:szCs w:val="24"/>
        </w:rPr>
      </w:pPr>
      <w:r w:rsidRPr="005D177D">
        <w:rPr>
          <w:rFonts w:cstheme="minorHAnsi"/>
          <w:sz w:val="24"/>
          <w:szCs w:val="24"/>
        </w:rPr>
        <w:t xml:space="preserve">In April 2021 the TUI carried out a survey of over one thousand of its second-level teacher members.  </w:t>
      </w:r>
      <w:r w:rsidR="003D0495" w:rsidRPr="005D177D">
        <w:rPr>
          <w:rFonts w:cstheme="minorHAnsi"/>
          <w:sz w:val="24"/>
          <w:szCs w:val="24"/>
        </w:rPr>
        <w:t>The key findings were:</w:t>
      </w:r>
    </w:p>
    <w:p w14:paraId="7E193B0F" w14:textId="77777777" w:rsidR="003D0495" w:rsidRPr="005D177D" w:rsidRDefault="00E41D6D" w:rsidP="005D177D">
      <w:pPr>
        <w:pStyle w:val="ListParagraph"/>
        <w:numPr>
          <w:ilvl w:val="0"/>
          <w:numId w:val="41"/>
        </w:numPr>
        <w:spacing w:after="0" w:line="360" w:lineRule="auto"/>
        <w:jc w:val="both"/>
        <w:rPr>
          <w:rFonts w:cstheme="minorHAnsi"/>
          <w:sz w:val="24"/>
          <w:szCs w:val="24"/>
        </w:rPr>
      </w:pPr>
      <w:r w:rsidRPr="005D177D">
        <w:rPr>
          <w:rFonts w:cstheme="minorHAnsi"/>
          <w:sz w:val="24"/>
          <w:szCs w:val="24"/>
        </w:rPr>
        <w:t>A staggering 93% of respondents reported disengagement by students during the period of ERTL.</w:t>
      </w:r>
      <w:r w:rsidR="003D0495" w:rsidRPr="005D177D">
        <w:rPr>
          <w:rFonts w:cstheme="minorHAnsi"/>
          <w:sz w:val="24"/>
          <w:szCs w:val="24"/>
        </w:rPr>
        <w:t xml:space="preserve">  </w:t>
      </w:r>
    </w:p>
    <w:p w14:paraId="580C6992" w14:textId="77777777" w:rsidR="003D0495" w:rsidRPr="005D177D" w:rsidRDefault="003D0495" w:rsidP="005D177D">
      <w:pPr>
        <w:pStyle w:val="ListParagraph"/>
        <w:numPr>
          <w:ilvl w:val="0"/>
          <w:numId w:val="41"/>
        </w:numPr>
        <w:spacing w:after="0" w:line="360" w:lineRule="auto"/>
        <w:jc w:val="both"/>
        <w:rPr>
          <w:rFonts w:cstheme="minorHAnsi"/>
          <w:sz w:val="24"/>
          <w:szCs w:val="24"/>
        </w:rPr>
      </w:pPr>
      <w:r w:rsidRPr="005D177D">
        <w:rPr>
          <w:rFonts w:cstheme="minorHAnsi"/>
          <w:sz w:val="24"/>
          <w:szCs w:val="24"/>
        </w:rPr>
        <w:t xml:space="preserve">76% of respondents believed that ERTL had a disproportionately negative effect on students from disadvantaged backgrounds.  </w:t>
      </w:r>
    </w:p>
    <w:p w14:paraId="62B9ED28" w14:textId="28FB9EEB" w:rsidR="00B54CA7" w:rsidRPr="005D177D" w:rsidRDefault="003D0495" w:rsidP="005D177D">
      <w:pPr>
        <w:pStyle w:val="ListParagraph"/>
        <w:numPr>
          <w:ilvl w:val="0"/>
          <w:numId w:val="41"/>
        </w:numPr>
        <w:spacing w:after="0" w:line="360" w:lineRule="auto"/>
        <w:jc w:val="both"/>
        <w:rPr>
          <w:rFonts w:cstheme="minorHAnsi"/>
          <w:sz w:val="24"/>
          <w:szCs w:val="24"/>
        </w:rPr>
      </w:pPr>
      <w:r w:rsidRPr="005D177D">
        <w:rPr>
          <w:rFonts w:cstheme="minorHAnsi"/>
          <w:sz w:val="24"/>
          <w:szCs w:val="24"/>
        </w:rPr>
        <w:t>64% of respondents found that ERTL took much more time than face-to-face delivery.</w:t>
      </w:r>
    </w:p>
    <w:p w14:paraId="45F748D5" w14:textId="0D7CDF59" w:rsidR="003D0495" w:rsidRPr="005D177D" w:rsidRDefault="003D0495" w:rsidP="005D177D">
      <w:pPr>
        <w:pStyle w:val="ListParagraph"/>
        <w:numPr>
          <w:ilvl w:val="0"/>
          <w:numId w:val="41"/>
        </w:numPr>
        <w:autoSpaceDE w:val="0"/>
        <w:autoSpaceDN w:val="0"/>
        <w:adjustRightInd w:val="0"/>
        <w:spacing w:after="0" w:line="360" w:lineRule="auto"/>
        <w:jc w:val="both"/>
        <w:rPr>
          <w:rFonts w:cstheme="minorHAnsi"/>
          <w:sz w:val="24"/>
          <w:szCs w:val="24"/>
        </w:rPr>
      </w:pPr>
      <w:r w:rsidRPr="005D177D">
        <w:rPr>
          <w:rFonts w:cstheme="minorHAnsi"/>
          <w:sz w:val="24"/>
          <w:szCs w:val="24"/>
        </w:rPr>
        <w:t>74% of respondents stated that some of their students were unable to engage with</w:t>
      </w:r>
    </w:p>
    <w:p w14:paraId="6D8109C9" w14:textId="37E56E0A" w:rsidR="00E41D6D" w:rsidRPr="005D177D" w:rsidRDefault="003D0495" w:rsidP="005D177D">
      <w:pPr>
        <w:pStyle w:val="ListParagraph"/>
        <w:autoSpaceDE w:val="0"/>
        <w:autoSpaceDN w:val="0"/>
        <w:adjustRightInd w:val="0"/>
        <w:spacing w:after="0" w:line="360" w:lineRule="auto"/>
        <w:jc w:val="both"/>
        <w:rPr>
          <w:rFonts w:cstheme="minorHAnsi"/>
          <w:sz w:val="24"/>
          <w:szCs w:val="24"/>
        </w:rPr>
      </w:pPr>
      <w:r w:rsidRPr="005D177D">
        <w:rPr>
          <w:rFonts w:cstheme="minorHAnsi"/>
          <w:sz w:val="24"/>
          <w:szCs w:val="24"/>
        </w:rPr>
        <w:t>ERTL as a result of not having access to appropriate electronic devices.</w:t>
      </w:r>
    </w:p>
    <w:p w14:paraId="5D36296B" w14:textId="77777777" w:rsidR="003D0495" w:rsidRPr="005D177D" w:rsidRDefault="003D0495" w:rsidP="005D177D">
      <w:pPr>
        <w:spacing w:after="0" w:line="360" w:lineRule="auto"/>
        <w:jc w:val="both"/>
        <w:rPr>
          <w:rFonts w:cstheme="minorHAnsi"/>
          <w:sz w:val="24"/>
          <w:szCs w:val="24"/>
        </w:rPr>
      </w:pPr>
    </w:p>
    <w:p w14:paraId="31030BA3" w14:textId="1BFA0C63" w:rsidR="00B54CA7" w:rsidRPr="005D177D" w:rsidRDefault="00B54CA7" w:rsidP="005D177D">
      <w:pPr>
        <w:spacing w:after="0" w:line="360" w:lineRule="auto"/>
        <w:jc w:val="both"/>
        <w:rPr>
          <w:rFonts w:cstheme="minorHAnsi"/>
          <w:b/>
          <w:bCs/>
          <w:sz w:val="24"/>
          <w:szCs w:val="24"/>
          <w:u w:val="single"/>
        </w:rPr>
      </w:pPr>
      <w:r w:rsidRPr="005D177D">
        <w:rPr>
          <w:rFonts w:cstheme="minorHAnsi"/>
          <w:b/>
          <w:bCs/>
          <w:sz w:val="24"/>
          <w:szCs w:val="24"/>
          <w:u w:val="single"/>
        </w:rPr>
        <w:t>Middle Management</w:t>
      </w:r>
    </w:p>
    <w:p w14:paraId="52CD01A5" w14:textId="5B24E21B" w:rsidR="0055001B" w:rsidRPr="005D177D" w:rsidRDefault="0055001B" w:rsidP="005D177D">
      <w:pPr>
        <w:spacing w:after="0" w:line="360" w:lineRule="auto"/>
        <w:jc w:val="both"/>
        <w:rPr>
          <w:rFonts w:cstheme="minorHAnsi"/>
          <w:sz w:val="24"/>
          <w:szCs w:val="24"/>
        </w:rPr>
      </w:pPr>
      <w:r w:rsidRPr="005D177D">
        <w:rPr>
          <w:rFonts w:cstheme="minorHAnsi"/>
          <w:sz w:val="24"/>
          <w:szCs w:val="24"/>
        </w:rPr>
        <w:t>The depletion of middle management posts in our schools since 2009 has been very corrosive.  It has resulted in a reduction of supports to vulnerable students.  The axing of large numbers of posts coincided with an increased demand for supports for students.</w:t>
      </w:r>
    </w:p>
    <w:p w14:paraId="239BFC40" w14:textId="3228EC15" w:rsidR="0055001B" w:rsidRPr="005D177D" w:rsidRDefault="0055001B" w:rsidP="005D177D">
      <w:pPr>
        <w:spacing w:after="0" w:line="360" w:lineRule="auto"/>
        <w:jc w:val="both"/>
        <w:rPr>
          <w:rFonts w:cstheme="minorHAnsi"/>
          <w:sz w:val="24"/>
          <w:szCs w:val="24"/>
        </w:rPr>
      </w:pPr>
    </w:p>
    <w:p w14:paraId="66F5AA62" w14:textId="48C9D883" w:rsidR="0055001B" w:rsidRPr="005D177D" w:rsidRDefault="0055001B" w:rsidP="005D177D">
      <w:pPr>
        <w:spacing w:after="0" w:line="360" w:lineRule="auto"/>
        <w:jc w:val="both"/>
        <w:rPr>
          <w:rFonts w:cstheme="minorHAnsi"/>
          <w:sz w:val="24"/>
          <w:szCs w:val="24"/>
        </w:rPr>
      </w:pPr>
      <w:r w:rsidRPr="005D177D">
        <w:rPr>
          <w:rFonts w:cstheme="minorHAnsi"/>
          <w:sz w:val="24"/>
          <w:szCs w:val="24"/>
        </w:rPr>
        <w:t>In 2018</w:t>
      </w:r>
      <w:r w:rsidR="00BB5C53">
        <w:rPr>
          <w:rFonts w:cstheme="minorHAnsi"/>
          <w:sz w:val="24"/>
          <w:szCs w:val="24"/>
        </w:rPr>
        <w:t xml:space="preserve"> and 2021</w:t>
      </w:r>
      <w:r w:rsidRPr="005D177D">
        <w:rPr>
          <w:rFonts w:cstheme="minorHAnsi"/>
          <w:sz w:val="24"/>
          <w:szCs w:val="24"/>
        </w:rPr>
        <w:t xml:space="preserve"> the number of posts was partially restored but only to a level of half of that pertaining prior to the cuts.  Th</w:t>
      </w:r>
      <w:r w:rsidR="00BB5C53">
        <w:rPr>
          <w:rFonts w:cstheme="minorHAnsi"/>
          <w:sz w:val="24"/>
          <w:szCs w:val="24"/>
        </w:rPr>
        <w:t>e</w:t>
      </w:r>
      <w:r w:rsidRPr="005D177D">
        <w:rPr>
          <w:rFonts w:cstheme="minorHAnsi"/>
          <w:sz w:val="24"/>
          <w:szCs w:val="24"/>
        </w:rPr>
        <w:t xml:space="preserve"> minimal restoration </w:t>
      </w:r>
      <w:r w:rsidR="00BB5C53">
        <w:rPr>
          <w:rFonts w:cstheme="minorHAnsi"/>
          <w:sz w:val="24"/>
          <w:szCs w:val="24"/>
        </w:rPr>
        <w:t xml:space="preserve">in 2018 </w:t>
      </w:r>
      <w:r w:rsidRPr="005D177D">
        <w:rPr>
          <w:rFonts w:cstheme="minorHAnsi"/>
          <w:sz w:val="24"/>
          <w:szCs w:val="24"/>
        </w:rPr>
        <w:t>was described by the D</w:t>
      </w:r>
      <w:r w:rsidR="00B54CA7" w:rsidRPr="005D177D">
        <w:rPr>
          <w:rFonts w:cstheme="minorHAnsi"/>
          <w:sz w:val="24"/>
          <w:szCs w:val="24"/>
        </w:rPr>
        <w:t>ES</w:t>
      </w:r>
      <w:r w:rsidRPr="005D177D">
        <w:rPr>
          <w:rFonts w:cstheme="minorHAnsi"/>
          <w:sz w:val="24"/>
          <w:szCs w:val="24"/>
        </w:rPr>
        <w:t xml:space="preserve"> at the time as partial and a commencement.  </w:t>
      </w:r>
      <w:r w:rsidR="00BB5C53">
        <w:rPr>
          <w:rFonts w:cstheme="minorHAnsi"/>
          <w:sz w:val="24"/>
          <w:szCs w:val="24"/>
        </w:rPr>
        <w:t>It is still partial in 2021.</w:t>
      </w:r>
    </w:p>
    <w:p w14:paraId="595CF55A" w14:textId="77777777" w:rsidR="0055001B" w:rsidRPr="005D177D" w:rsidRDefault="0055001B" w:rsidP="005D177D">
      <w:pPr>
        <w:spacing w:after="0" w:line="360" w:lineRule="auto"/>
        <w:jc w:val="both"/>
        <w:rPr>
          <w:rFonts w:cstheme="minorHAnsi"/>
          <w:sz w:val="24"/>
          <w:szCs w:val="24"/>
        </w:rPr>
      </w:pPr>
    </w:p>
    <w:p w14:paraId="5EE85B09" w14:textId="77777777" w:rsidR="00DF3151" w:rsidRPr="005D177D" w:rsidRDefault="00DF3151" w:rsidP="005D177D">
      <w:pPr>
        <w:spacing w:after="0" w:line="360" w:lineRule="auto"/>
        <w:jc w:val="both"/>
        <w:rPr>
          <w:rFonts w:cstheme="minorHAnsi"/>
          <w:b/>
          <w:sz w:val="24"/>
          <w:szCs w:val="24"/>
          <w:u w:val="single"/>
        </w:rPr>
      </w:pPr>
      <w:r w:rsidRPr="005D177D">
        <w:rPr>
          <w:rFonts w:cstheme="minorHAnsi"/>
          <w:b/>
          <w:sz w:val="24"/>
          <w:szCs w:val="24"/>
          <w:u w:val="single"/>
        </w:rPr>
        <w:t>Recommendations</w:t>
      </w:r>
    </w:p>
    <w:p w14:paraId="5C9E3C3C" w14:textId="7A5458A7" w:rsidR="00417290" w:rsidRPr="005D177D" w:rsidRDefault="00D972D5" w:rsidP="005D177D">
      <w:pPr>
        <w:spacing w:after="0" w:line="360" w:lineRule="auto"/>
        <w:jc w:val="both"/>
        <w:rPr>
          <w:rFonts w:cstheme="minorHAnsi"/>
          <w:sz w:val="24"/>
          <w:szCs w:val="24"/>
        </w:rPr>
      </w:pPr>
      <w:r w:rsidRPr="005D177D">
        <w:rPr>
          <w:rFonts w:cstheme="minorHAnsi"/>
          <w:sz w:val="24"/>
          <w:szCs w:val="24"/>
        </w:rPr>
        <w:t>The T</w:t>
      </w:r>
      <w:r w:rsidR="001267B0" w:rsidRPr="005D177D">
        <w:rPr>
          <w:rFonts w:cstheme="minorHAnsi"/>
          <w:sz w:val="24"/>
          <w:szCs w:val="24"/>
        </w:rPr>
        <w:t>U</w:t>
      </w:r>
      <w:r w:rsidRPr="005D177D">
        <w:rPr>
          <w:rFonts w:cstheme="minorHAnsi"/>
          <w:sz w:val="24"/>
          <w:szCs w:val="24"/>
        </w:rPr>
        <w:t xml:space="preserve">I would like to make the following recommendations to the </w:t>
      </w:r>
      <w:r w:rsidR="00B54CA7" w:rsidRPr="005D177D">
        <w:rPr>
          <w:rFonts w:cstheme="minorHAnsi"/>
          <w:sz w:val="24"/>
          <w:szCs w:val="24"/>
        </w:rPr>
        <w:t>DE</w:t>
      </w:r>
      <w:r w:rsidR="00417290" w:rsidRPr="005D177D">
        <w:rPr>
          <w:rFonts w:cstheme="minorHAnsi"/>
          <w:sz w:val="24"/>
          <w:szCs w:val="24"/>
        </w:rPr>
        <w:t>:</w:t>
      </w:r>
    </w:p>
    <w:p w14:paraId="0ED8E454" w14:textId="331FC37A" w:rsidR="00417290" w:rsidRPr="005D177D" w:rsidRDefault="00417290"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I</w:t>
      </w:r>
      <w:r w:rsidR="002C51C8" w:rsidRPr="005D177D">
        <w:rPr>
          <w:rFonts w:cstheme="minorHAnsi"/>
          <w:sz w:val="24"/>
          <w:szCs w:val="24"/>
        </w:rPr>
        <w:t>t is essential that</w:t>
      </w:r>
      <w:r w:rsidR="00DB42E6" w:rsidRPr="005D177D">
        <w:rPr>
          <w:rFonts w:cstheme="minorHAnsi"/>
          <w:sz w:val="24"/>
          <w:szCs w:val="24"/>
        </w:rPr>
        <w:t xml:space="preserve"> </w:t>
      </w:r>
      <w:r w:rsidR="002C51C8" w:rsidRPr="005D177D">
        <w:rPr>
          <w:rFonts w:cstheme="minorHAnsi"/>
          <w:sz w:val="24"/>
          <w:szCs w:val="24"/>
        </w:rPr>
        <w:t>vital support structures</w:t>
      </w:r>
      <w:r w:rsidR="006A385C" w:rsidRPr="005D177D">
        <w:rPr>
          <w:rFonts w:cstheme="minorHAnsi"/>
          <w:sz w:val="24"/>
          <w:szCs w:val="24"/>
        </w:rPr>
        <w:t>, such as middle management posts,</w:t>
      </w:r>
      <w:r w:rsidR="002C51C8" w:rsidRPr="005D177D">
        <w:rPr>
          <w:rFonts w:cstheme="minorHAnsi"/>
          <w:sz w:val="24"/>
          <w:szCs w:val="24"/>
        </w:rPr>
        <w:t xml:space="preserve"> within schools be restored.  </w:t>
      </w:r>
    </w:p>
    <w:p w14:paraId="6A51E9FC" w14:textId="3A47454D" w:rsidR="002C51C8" w:rsidRPr="005D177D" w:rsidRDefault="00091563"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 xml:space="preserve">Significant investment is needed in </w:t>
      </w:r>
      <w:r w:rsidR="00417290" w:rsidRPr="005D177D">
        <w:rPr>
          <w:rFonts w:cstheme="minorHAnsi"/>
          <w:sz w:val="24"/>
          <w:szCs w:val="24"/>
        </w:rPr>
        <w:t xml:space="preserve">school supports such as </w:t>
      </w:r>
      <w:r w:rsidR="00FD4291" w:rsidRPr="005D177D">
        <w:rPr>
          <w:rFonts w:cstheme="minorHAnsi"/>
          <w:sz w:val="24"/>
          <w:szCs w:val="24"/>
        </w:rPr>
        <w:t>ICT infrastructure, availability of software licences, publicly owned rural broadband</w:t>
      </w:r>
      <w:r w:rsidRPr="005D177D">
        <w:rPr>
          <w:rFonts w:cstheme="minorHAnsi"/>
          <w:sz w:val="24"/>
          <w:szCs w:val="24"/>
        </w:rPr>
        <w:t>.</w:t>
      </w:r>
    </w:p>
    <w:p w14:paraId="3130C959" w14:textId="5B3A68BF" w:rsidR="00372CB1" w:rsidRPr="005D177D" w:rsidRDefault="001A544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 xml:space="preserve">Appropriate training and resources need to be put in place for all the school community including the Board of Management.  </w:t>
      </w:r>
    </w:p>
    <w:p w14:paraId="6AD1560E" w14:textId="63BB1503" w:rsidR="00FD4291" w:rsidRPr="005D177D" w:rsidRDefault="00FD429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Availability of ICT advisors</w:t>
      </w:r>
      <w:r w:rsidR="006A385C" w:rsidRPr="005D177D">
        <w:rPr>
          <w:rFonts w:cstheme="minorHAnsi"/>
          <w:sz w:val="24"/>
          <w:szCs w:val="24"/>
        </w:rPr>
        <w:t xml:space="preserve"> and coordinators.</w:t>
      </w:r>
    </w:p>
    <w:p w14:paraId="6FA8171B" w14:textId="7DAC261D" w:rsidR="00FD4291" w:rsidRPr="005D177D" w:rsidRDefault="00FD429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Multi-annual, substantial funding to address historic underinvestment in ICT.</w:t>
      </w:r>
    </w:p>
    <w:p w14:paraId="503F2F5B" w14:textId="1B21F726" w:rsidR="00FD4291" w:rsidRPr="005D177D" w:rsidRDefault="00FD429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 xml:space="preserve">There must be recognition that ERTL was an emergency response to a pandemic and that many students, </w:t>
      </w:r>
      <w:r w:rsidR="006A385C" w:rsidRPr="005D177D">
        <w:rPr>
          <w:rFonts w:cstheme="minorHAnsi"/>
          <w:sz w:val="24"/>
          <w:szCs w:val="24"/>
        </w:rPr>
        <w:t>e</w:t>
      </w:r>
      <w:r w:rsidRPr="005D177D">
        <w:rPr>
          <w:rFonts w:cstheme="minorHAnsi"/>
          <w:sz w:val="24"/>
          <w:szCs w:val="24"/>
        </w:rPr>
        <w:t>specially in DEIS schools, were further disadvantaged by it despite the best efforts of schools.</w:t>
      </w:r>
    </w:p>
    <w:p w14:paraId="2E0ADB84" w14:textId="7586A776" w:rsidR="00FD4291" w:rsidRPr="005D177D" w:rsidRDefault="00FD429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The ‘digital divide’ continues and must be addressed.</w:t>
      </w:r>
    </w:p>
    <w:p w14:paraId="49D33F18" w14:textId="74553795" w:rsidR="00FD4291" w:rsidRPr="005D177D" w:rsidRDefault="00FD4291"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Schools require access to timely technical support.</w:t>
      </w:r>
    </w:p>
    <w:p w14:paraId="044235EF" w14:textId="603A385F" w:rsidR="006A385C" w:rsidRPr="005D177D" w:rsidRDefault="006A385C" w:rsidP="005D177D">
      <w:pPr>
        <w:pStyle w:val="ListParagraph"/>
        <w:numPr>
          <w:ilvl w:val="0"/>
          <w:numId w:val="35"/>
        </w:numPr>
        <w:spacing w:after="0" w:line="360" w:lineRule="auto"/>
        <w:jc w:val="both"/>
        <w:rPr>
          <w:rFonts w:cstheme="minorHAnsi"/>
          <w:sz w:val="24"/>
          <w:szCs w:val="24"/>
        </w:rPr>
      </w:pPr>
      <w:r w:rsidRPr="005D177D">
        <w:rPr>
          <w:rFonts w:cstheme="minorHAnsi"/>
          <w:sz w:val="24"/>
          <w:szCs w:val="24"/>
        </w:rPr>
        <w:t xml:space="preserve">HSCLs should be employed in all schools, not just DEIS schools, to support the link between </w:t>
      </w:r>
      <w:r w:rsidR="004F4BD2" w:rsidRPr="005D177D">
        <w:rPr>
          <w:rFonts w:cstheme="minorHAnsi"/>
          <w:sz w:val="24"/>
          <w:szCs w:val="24"/>
        </w:rPr>
        <w:t>schoolwork</w:t>
      </w:r>
      <w:r w:rsidRPr="005D177D">
        <w:rPr>
          <w:rFonts w:cstheme="minorHAnsi"/>
          <w:sz w:val="24"/>
          <w:szCs w:val="24"/>
        </w:rPr>
        <w:t xml:space="preserve"> and home environment.</w:t>
      </w:r>
    </w:p>
    <w:p w14:paraId="6B18003F" w14:textId="77777777" w:rsidR="00FD4291" w:rsidRPr="005D177D" w:rsidRDefault="00FD4291" w:rsidP="005D177D">
      <w:pPr>
        <w:spacing w:line="360" w:lineRule="auto"/>
        <w:jc w:val="both"/>
        <w:rPr>
          <w:rFonts w:cstheme="minorHAnsi"/>
          <w:b/>
          <w:bCs/>
          <w:sz w:val="24"/>
          <w:szCs w:val="24"/>
        </w:rPr>
      </w:pPr>
    </w:p>
    <w:p w14:paraId="21808329" w14:textId="12CE57EB" w:rsidR="00DF3151" w:rsidRPr="005D177D" w:rsidRDefault="00DF3151" w:rsidP="005D177D">
      <w:pPr>
        <w:spacing w:line="360" w:lineRule="auto"/>
        <w:jc w:val="both"/>
        <w:rPr>
          <w:rFonts w:cstheme="minorHAnsi"/>
          <w:b/>
          <w:bCs/>
          <w:sz w:val="24"/>
          <w:szCs w:val="24"/>
        </w:rPr>
      </w:pPr>
      <w:r w:rsidRPr="005D177D">
        <w:rPr>
          <w:rFonts w:cstheme="minorHAnsi"/>
          <w:b/>
          <w:bCs/>
          <w:sz w:val="24"/>
          <w:szCs w:val="24"/>
        </w:rPr>
        <w:t xml:space="preserve">Ends </w:t>
      </w:r>
    </w:p>
    <w:p w14:paraId="5A3483F9" w14:textId="1A2A378B" w:rsidR="00DF3151" w:rsidRPr="005D177D" w:rsidRDefault="00DF3151" w:rsidP="005D177D">
      <w:pPr>
        <w:spacing w:line="360" w:lineRule="auto"/>
        <w:jc w:val="both"/>
        <w:rPr>
          <w:rFonts w:cstheme="minorHAnsi"/>
          <w:b/>
          <w:sz w:val="24"/>
          <w:szCs w:val="24"/>
        </w:rPr>
      </w:pPr>
      <w:r w:rsidRPr="005D177D">
        <w:rPr>
          <w:rFonts w:cstheme="minorHAnsi"/>
          <w:b/>
          <w:sz w:val="24"/>
          <w:szCs w:val="24"/>
        </w:rPr>
        <w:t xml:space="preserve">David Duffy (Education/Research Officer, TUI), </w:t>
      </w:r>
      <w:hyperlink r:id="rId8" w:history="1">
        <w:r w:rsidRPr="005D177D">
          <w:rPr>
            <w:rFonts w:cstheme="minorHAnsi"/>
            <w:sz w:val="24"/>
            <w:szCs w:val="24"/>
            <w:u w:val="single"/>
          </w:rPr>
          <w:t>dduffy@tui.ie</w:t>
        </w:r>
      </w:hyperlink>
      <w:r w:rsidRPr="005D177D">
        <w:rPr>
          <w:rFonts w:cstheme="minorHAnsi"/>
          <w:b/>
          <w:sz w:val="24"/>
          <w:szCs w:val="24"/>
        </w:rPr>
        <w:t>, 01 4922588</w:t>
      </w:r>
    </w:p>
    <w:p w14:paraId="62D65D81" w14:textId="77777777" w:rsidR="001669AD" w:rsidRPr="005D177D" w:rsidRDefault="001669AD" w:rsidP="005D177D">
      <w:pPr>
        <w:spacing w:line="360" w:lineRule="auto"/>
        <w:jc w:val="both"/>
        <w:rPr>
          <w:rFonts w:cstheme="minorHAnsi"/>
          <w:b/>
          <w:sz w:val="24"/>
          <w:szCs w:val="24"/>
        </w:rPr>
      </w:pPr>
    </w:p>
    <w:p w14:paraId="741C9F29" w14:textId="77777777" w:rsidR="00FD4291" w:rsidRPr="005D177D" w:rsidRDefault="00FD4291" w:rsidP="005D177D">
      <w:pPr>
        <w:spacing w:line="360" w:lineRule="auto"/>
        <w:rPr>
          <w:rFonts w:cstheme="minorHAnsi"/>
          <w:b/>
          <w:sz w:val="24"/>
          <w:szCs w:val="24"/>
        </w:rPr>
      </w:pPr>
      <w:r w:rsidRPr="005D177D">
        <w:rPr>
          <w:rFonts w:cstheme="minorHAnsi"/>
          <w:b/>
          <w:sz w:val="24"/>
          <w:szCs w:val="24"/>
        </w:rPr>
        <w:br w:type="page"/>
      </w:r>
    </w:p>
    <w:p w14:paraId="1CEAA230" w14:textId="472BBDC9" w:rsidR="00DF3151" w:rsidRPr="005D177D" w:rsidRDefault="00DF3151" w:rsidP="005D177D">
      <w:pPr>
        <w:spacing w:line="360" w:lineRule="auto"/>
        <w:jc w:val="both"/>
        <w:rPr>
          <w:rFonts w:cstheme="minorHAnsi"/>
          <w:b/>
          <w:sz w:val="24"/>
          <w:szCs w:val="24"/>
        </w:rPr>
      </w:pPr>
      <w:r w:rsidRPr="005D177D">
        <w:rPr>
          <w:rFonts w:cstheme="minorHAnsi"/>
          <w:b/>
          <w:sz w:val="24"/>
          <w:szCs w:val="24"/>
        </w:rPr>
        <w:t>Glossary</w:t>
      </w:r>
    </w:p>
    <w:p w14:paraId="2A92CF69" w14:textId="77777777" w:rsidR="00AD3E4A" w:rsidRPr="005D177D" w:rsidRDefault="00AD3E4A" w:rsidP="005D177D">
      <w:pPr>
        <w:spacing w:line="360" w:lineRule="auto"/>
        <w:jc w:val="both"/>
        <w:rPr>
          <w:rFonts w:cstheme="minorHAnsi"/>
          <w:sz w:val="24"/>
          <w:szCs w:val="24"/>
        </w:rPr>
      </w:pPr>
      <w:r w:rsidRPr="005D177D">
        <w:rPr>
          <w:rFonts w:cstheme="minorHAnsi"/>
          <w:sz w:val="24"/>
          <w:szCs w:val="24"/>
        </w:rPr>
        <w:t>BYOD</w:t>
      </w:r>
      <w:r w:rsidRPr="005D177D">
        <w:rPr>
          <w:rFonts w:cstheme="minorHAnsi"/>
          <w:sz w:val="24"/>
          <w:szCs w:val="24"/>
        </w:rPr>
        <w:tab/>
      </w:r>
      <w:r w:rsidRPr="005D177D">
        <w:rPr>
          <w:rFonts w:cstheme="minorHAnsi"/>
          <w:sz w:val="24"/>
          <w:szCs w:val="24"/>
        </w:rPr>
        <w:tab/>
        <w:t>Bring Your Own Device</w:t>
      </w:r>
    </w:p>
    <w:p w14:paraId="3A2EE470"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C&amp;C</w:t>
      </w:r>
      <w:r w:rsidRPr="005D177D">
        <w:rPr>
          <w:rFonts w:cstheme="minorHAnsi"/>
          <w:sz w:val="24"/>
          <w:szCs w:val="24"/>
        </w:rPr>
        <w:tab/>
      </w:r>
      <w:r w:rsidRPr="005D177D">
        <w:rPr>
          <w:rFonts w:cstheme="minorHAnsi"/>
          <w:sz w:val="24"/>
          <w:szCs w:val="24"/>
        </w:rPr>
        <w:tab/>
        <w:t>Community and Comprehensive</w:t>
      </w:r>
    </w:p>
    <w:p w14:paraId="06785342" w14:textId="25602416" w:rsidR="006A385C" w:rsidRPr="005D177D" w:rsidRDefault="006A385C" w:rsidP="005D177D">
      <w:pPr>
        <w:spacing w:line="360" w:lineRule="auto"/>
        <w:jc w:val="both"/>
        <w:rPr>
          <w:rFonts w:cstheme="minorHAnsi"/>
          <w:sz w:val="24"/>
          <w:szCs w:val="24"/>
        </w:rPr>
      </w:pPr>
      <w:r w:rsidRPr="005D177D">
        <w:rPr>
          <w:rFonts w:cstheme="minorHAnsi"/>
          <w:sz w:val="24"/>
          <w:szCs w:val="24"/>
        </w:rPr>
        <w:t>CPD</w:t>
      </w:r>
      <w:r w:rsidRPr="005D177D">
        <w:rPr>
          <w:rFonts w:cstheme="minorHAnsi"/>
          <w:sz w:val="24"/>
          <w:szCs w:val="24"/>
        </w:rPr>
        <w:tab/>
      </w:r>
      <w:r w:rsidRPr="005D177D">
        <w:rPr>
          <w:rFonts w:cstheme="minorHAnsi"/>
          <w:sz w:val="24"/>
          <w:szCs w:val="24"/>
        </w:rPr>
        <w:tab/>
        <w:t>Continuing Professional Development</w:t>
      </w:r>
    </w:p>
    <w:p w14:paraId="45331D69" w14:textId="36376707" w:rsidR="001F05DA" w:rsidRPr="005D177D" w:rsidRDefault="001F05DA" w:rsidP="005D177D">
      <w:pPr>
        <w:spacing w:line="360" w:lineRule="auto"/>
        <w:jc w:val="both"/>
        <w:rPr>
          <w:rFonts w:cstheme="minorHAnsi"/>
          <w:sz w:val="24"/>
          <w:szCs w:val="24"/>
        </w:rPr>
      </w:pPr>
      <w:r w:rsidRPr="005D177D">
        <w:rPr>
          <w:rFonts w:cstheme="minorHAnsi"/>
          <w:sz w:val="24"/>
          <w:szCs w:val="24"/>
        </w:rPr>
        <w:t>CSO</w:t>
      </w:r>
      <w:r w:rsidRPr="005D177D">
        <w:rPr>
          <w:rFonts w:cstheme="minorHAnsi"/>
          <w:sz w:val="24"/>
          <w:szCs w:val="24"/>
        </w:rPr>
        <w:tab/>
      </w:r>
      <w:r w:rsidRPr="005D177D">
        <w:rPr>
          <w:rFonts w:cstheme="minorHAnsi"/>
          <w:sz w:val="24"/>
          <w:szCs w:val="24"/>
        </w:rPr>
        <w:tab/>
        <w:t>Central Statistics Office</w:t>
      </w:r>
    </w:p>
    <w:p w14:paraId="48C43156" w14:textId="4EA9598F" w:rsidR="001F05DA" w:rsidRPr="005D177D" w:rsidRDefault="001F05DA" w:rsidP="005D177D">
      <w:pPr>
        <w:spacing w:line="360" w:lineRule="auto"/>
        <w:jc w:val="both"/>
        <w:rPr>
          <w:rFonts w:cstheme="minorHAnsi"/>
          <w:sz w:val="24"/>
          <w:szCs w:val="24"/>
        </w:rPr>
      </w:pPr>
      <w:r w:rsidRPr="005D177D">
        <w:rPr>
          <w:rFonts w:cstheme="minorHAnsi"/>
          <w:sz w:val="24"/>
          <w:szCs w:val="24"/>
        </w:rPr>
        <w:t>DCYA</w:t>
      </w:r>
      <w:r w:rsidRPr="005D177D">
        <w:rPr>
          <w:rFonts w:cstheme="minorHAnsi"/>
          <w:sz w:val="24"/>
          <w:szCs w:val="24"/>
        </w:rPr>
        <w:tab/>
      </w:r>
      <w:r w:rsidRPr="005D177D">
        <w:rPr>
          <w:rFonts w:cstheme="minorHAnsi"/>
          <w:sz w:val="24"/>
          <w:szCs w:val="24"/>
        </w:rPr>
        <w:tab/>
        <w:t>Department of Children and Youth Affairs</w:t>
      </w:r>
      <w:r w:rsidRPr="005D177D">
        <w:rPr>
          <w:rFonts w:cstheme="minorHAnsi"/>
          <w:sz w:val="24"/>
          <w:szCs w:val="24"/>
        </w:rPr>
        <w:tab/>
        <w:t>(Now DCEDIYA)</w:t>
      </w:r>
    </w:p>
    <w:p w14:paraId="5743C76A" w14:textId="4D26136E" w:rsidR="001F05DA" w:rsidRPr="005D177D" w:rsidRDefault="001F05DA" w:rsidP="005D177D">
      <w:pPr>
        <w:spacing w:line="360" w:lineRule="auto"/>
        <w:jc w:val="both"/>
        <w:rPr>
          <w:rFonts w:cstheme="minorHAnsi"/>
          <w:sz w:val="24"/>
          <w:szCs w:val="24"/>
        </w:rPr>
      </w:pPr>
      <w:r w:rsidRPr="005D177D">
        <w:rPr>
          <w:rFonts w:cstheme="minorHAnsi"/>
          <w:sz w:val="24"/>
          <w:szCs w:val="24"/>
        </w:rPr>
        <w:t>DE</w:t>
      </w:r>
      <w:r w:rsidRPr="005D177D">
        <w:rPr>
          <w:rFonts w:cstheme="minorHAnsi"/>
          <w:sz w:val="24"/>
          <w:szCs w:val="24"/>
        </w:rPr>
        <w:tab/>
      </w:r>
      <w:r w:rsidRPr="005D177D">
        <w:rPr>
          <w:rFonts w:cstheme="minorHAnsi"/>
          <w:sz w:val="24"/>
          <w:szCs w:val="24"/>
        </w:rPr>
        <w:tab/>
        <w:t>Department of Education</w:t>
      </w:r>
    </w:p>
    <w:p w14:paraId="42FD1033" w14:textId="58F06743" w:rsidR="001F05DA" w:rsidRPr="005D177D" w:rsidRDefault="001F05DA" w:rsidP="005D177D">
      <w:pPr>
        <w:spacing w:line="360" w:lineRule="auto"/>
        <w:jc w:val="both"/>
        <w:rPr>
          <w:rFonts w:cstheme="minorHAnsi"/>
          <w:sz w:val="24"/>
          <w:szCs w:val="24"/>
        </w:rPr>
      </w:pPr>
      <w:r w:rsidRPr="005D177D">
        <w:rPr>
          <w:rFonts w:cstheme="minorHAnsi"/>
          <w:sz w:val="24"/>
          <w:szCs w:val="24"/>
        </w:rPr>
        <w:t>DEIS</w:t>
      </w:r>
      <w:r w:rsidRPr="005D177D">
        <w:rPr>
          <w:rFonts w:cstheme="minorHAnsi"/>
          <w:sz w:val="24"/>
          <w:szCs w:val="24"/>
        </w:rPr>
        <w:tab/>
      </w:r>
      <w:r w:rsidRPr="005D177D">
        <w:rPr>
          <w:rFonts w:cstheme="minorHAnsi"/>
          <w:sz w:val="24"/>
          <w:szCs w:val="24"/>
        </w:rPr>
        <w:tab/>
        <w:t>Delivering Equality of Opportunity in Schools</w:t>
      </w:r>
    </w:p>
    <w:p w14:paraId="33FE76D4" w14:textId="249353A8" w:rsidR="00DF3151" w:rsidRPr="005D177D" w:rsidRDefault="00DF3151" w:rsidP="005D177D">
      <w:pPr>
        <w:spacing w:line="360" w:lineRule="auto"/>
        <w:jc w:val="both"/>
        <w:rPr>
          <w:rFonts w:cstheme="minorHAnsi"/>
          <w:sz w:val="24"/>
          <w:szCs w:val="24"/>
        </w:rPr>
      </w:pPr>
      <w:r w:rsidRPr="005D177D">
        <w:rPr>
          <w:rFonts w:cstheme="minorHAnsi"/>
          <w:sz w:val="24"/>
          <w:szCs w:val="24"/>
        </w:rPr>
        <w:t>DES</w:t>
      </w:r>
      <w:r w:rsidRPr="005D177D">
        <w:rPr>
          <w:rFonts w:cstheme="minorHAnsi"/>
          <w:sz w:val="24"/>
          <w:szCs w:val="24"/>
        </w:rPr>
        <w:tab/>
      </w:r>
      <w:r w:rsidRPr="005D177D">
        <w:rPr>
          <w:rFonts w:cstheme="minorHAnsi"/>
          <w:sz w:val="24"/>
          <w:szCs w:val="24"/>
        </w:rPr>
        <w:tab/>
        <w:t>Department of Education and Skills</w:t>
      </w:r>
      <w:r w:rsidR="001F05DA" w:rsidRPr="005D177D">
        <w:rPr>
          <w:rFonts w:cstheme="minorHAnsi"/>
          <w:sz w:val="24"/>
          <w:szCs w:val="24"/>
        </w:rPr>
        <w:tab/>
      </w:r>
      <w:r w:rsidR="001F05DA" w:rsidRPr="005D177D">
        <w:rPr>
          <w:rFonts w:cstheme="minorHAnsi"/>
          <w:sz w:val="24"/>
          <w:szCs w:val="24"/>
        </w:rPr>
        <w:tab/>
        <w:t>(Now DE)</w:t>
      </w:r>
    </w:p>
    <w:p w14:paraId="7BB3B477" w14:textId="77777777" w:rsidR="00E41D6D" w:rsidRPr="005D177D" w:rsidRDefault="00E41D6D" w:rsidP="005D177D">
      <w:pPr>
        <w:spacing w:line="360" w:lineRule="auto"/>
        <w:jc w:val="both"/>
        <w:rPr>
          <w:rFonts w:cstheme="minorHAnsi"/>
          <w:sz w:val="24"/>
          <w:szCs w:val="24"/>
        </w:rPr>
      </w:pPr>
      <w:r w:rsidRPr="005D177D">
        <w:rPr>
          <w:rFonts w:cstheme="minorHAnsi"/>
          <w:sz w:val="24"/>
          <w:szCs w:val="24"/>
        </w:rPr>
        <w:t>ERTL</w:t>
      </w:r>
      <w:r w:rsidRPr="005D177D">
        <w:rPr>
          <w:rFonts w:cstheme="minorHAnsi"/>
          <w:sz w:val="24"/>
          <w:szCs w:val="24"/>
        </w:rPr>
        <w:tab/>
      </w:r>
      <w:r w:rsidRPr="005D177D">
        <w:rPr>
          <w:rFonts w:cstheme="minorHAnsi"/>
          <w:sz w:val="24"/>
          <w:szCs w:val="24"/>
        </w:rPr>
        <w:tab/>
        <w:t>Emergency Remote Teaching and Learning</w:t>
      </w:r>
    </w:p>
    <w:p w14:paraId="68CC83B9" w14:textId="68FE37E8" w:rsidR="001F05DA" w:rsidRPr="005D177D" w:rsidRDefault="001F05DA" w:rsidP="005D177D">
      <w:pPr>
        <w:spacing w:line="360" w:lineRule="auto"/>
        <w:jc w:val="both"/>
        <w:rPr>
          <w:rFonts w:cstheme="minorHAnsi"/>
          <w:sz w:val="24"/>
          <w:szCs w:val="24"/>
        </w:rPr>
      </w:pPr>
      <w:r w:rsidRPr="005D177D">
        <w:rPr>
          <w:rFonts w:cstheme="minorHAnsi"/>
          <w:sz w:val="24"/>
          <w:szCs w:val="24"/>
        </w:rPr>
        <w:t>ESRI</w:t>
      </w:r>
      <w:r w:rsidRPr="005D177D">
        <w:rPr>
          <w:rFonts w:cstheme="minorHAnsi"/>
          <w:sz w:val="24"/>
          <w:szCs w:val="24"/>
        </w:rPr>
        <w:tab/>
      </w:r>
      <w:r w:rsidRPr="005D177D">
        <w:rPr>
          <w:rFonts w:cstheme="minorHAnsi"/>
          <w:sz w:val="24"/>
          <w:szCs w:val="24"/>
        </w:rPr>
        <w:tab/>
        <w:t>Economic and Social Research Institute</w:t>
      </w:r>
    </w:p>
    <w:p w14:paraId="4BA6C163" w14:textId="32A115C2" w:rsidR="00DF3151" w:rsidRPr="005D177D" w:rsidRDefault="00DF3151" w:rsidP="005D177D">
      <w:pPr>
        <w:spacing w:line="360" w:lineRule="auto"/>
        <w:jc w:val="both"/>
        <w:rPr>
          <w:rFonts w:cstheme="minorHAnsi"/>
          <w:sz w:val="24"/>
          <w:szCs w:val="24"/>
        </w:rPr>
      </w:pPr>
      <w:r w:rsidRPr="005D177D">
        <w:rPr>
          <w:rFonts w:cstheme="minorHAnsi"/>
          <w:sz w:val="24"/>
          <w:szCs w:val="24"/>
        </w:rPr>
        <w:t>ETB</w:t>
      </w:r>
      <w:r w:rsidRPr="005D177D">
        <w:rPr>
          <w:rFonts w:cstheme="minorHAnsi"/>
          <w:sz w:val="24"/>
          <w:szCs w:val="24"/>
        </w:rPr>
        <w:tab/>
      </w:r>
      <w:r w:rsidRPr="005D177D">
        <w:rPr>
          <w:rFonts w:cstheme="minorHAnsi"/>
          <w:sz w:val="24"/>
          <w:szCs w:val="24"/>
        </w:rPr>
        <w:tab/>
        <w:t>Education and Training Board</w:t>
      </w:r>
    </w:p>
    <w:p w14:paraId="14704C0D"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EU</w:t>
      </w:r>
      <w:r w:rsidRPr="005D177D">
        <w:rPr>
          <w:rFonts w:cstheme="minorHAnsi"/>
          <w:sz w:val="24"/>
          <w:szCs w:val="24"/>
        </w:rPr>
        <w:tab/>
      </w:r>
      <w:r w:rsidRPr="005D177D">
        <w:rPr>
          <w:rFonts w:cstheme="minorHAnsi"/>
          <w:sz w:val="24"/>
          <w:szCs w:val="24"/>
        </w:rPr>
        <w:tab/>
        <w:t>European Union</w:t>
      </w:r>
    </w:p>
    <w:p w14:paraId="433A8E7F"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HEA</w:t>
      </w:r>
      <w:r w:rsidRPr="005D177D">
        <w:rPr>
          <w:rFonts w:cstheme="minorHAnsi"/>
          <w:sz w:val="24"/>
          <w:szCs w:val="24"/>
        </w:rPr>
        <w:tab/>
      </w:r>
      <w:r w:rsidRPr="005D177D">
        <w:rPr>
          <w:rFonts w:cstheme="minorHAnsi"/>
          <w:sz w:val="24"/>
          <w:szCs w:val="24"/>
        </w:rPr>
        <w:tab/>
        <w:t>Higher Education Authority</w:t>
      </w:r>
    </w:p>
    <w:p w14:paraId="3879713C" w14:textId="673C30A7" w:rsidR="00DF3151" w:rsidRPr="005D177D" w:rsidRDefault="001F05DA" w:rsidP="005D177D">
      <w:pPr>
        <w:spacing w:line="360" w:lineRule="auto"/>
        <w:jc w:val="both"/>
        <w:rPr>
          <w:rFonts w:cstheme="minorHAnsi"/>
          <w:sz w:val="24"/>
          <w:szCs w:val="24"/>
        </w:rPr>
      </w:pPr>
      <w:r w:rsidRPr="005D177D">
        <w:rPr>
          <w:rFonts w:cstheme="minorHAnsi"/>
          <w:sz w:val="24"/>
          <w:szCs w:val="24"/>
        </w:rPr>
        <w:t>HSCL</w:t>
      </w:r>
      <w:r w:rsidRPr="005D177D">
        <w:rPr>
          <w:rFonts w:cstheme="minorHAnsi"/>
          <w:sz w:val="24"/>
          <w:szCs w:val="24"/>
        </w:rPr>
        <w:tab/>
      </w:r>
      <w:r w:rsidRPr="005D177D">
        <w:rPr>
          <w:rFonts w:cstheme="minorHAnsi"/>
          <w:sz w:val="24"/>
          <w:szCs w:val="24"/>
        </w:rPr>
        <w:tab/>
        <w:t>Home School Community Liaison</w:t>
      </w:r>
    </w:p>
    <w:p w14:paraId="38385480" w14:textId="77777777" w:rsidR="00AD3E4A" w:rsidRPr="005D177D" w:rsidRDefault="00AD3E4A" w:rsidP="005D177D">
      <w:pPr>
        <w:spacing w:line="360" w:lineRule="auto"/>
        <w:jc w:val="both"/>
        <w:rPr>
          <w:rFonts w:cstheme="minorHAnsi"/>
          <w:sz w:val="24"/>
          <w:szCs w:val="24"/>
        </w:rPr>
      </w:pPr>
      <w:r w:rsidRPr="005D177D">
        <w:rPr>
          <w:rFonts w:cstheme="minorHAnsi"/>
          <w:sz w:val="24"/>
          <w:szCs w:val="24"/>
        </w:rPr>
        <w:t>ICT</w:t>
      </w:r>
      <w:r w:rsidRPr="005D177D">
        <w:rPr>
          <w:rFonts w:cstheme="minorHAnsi"/>
          <w:sz w:val="24"/>
          <w:szCs w:val="24"/>
        </w:rPr>
        <w:tab/>
      </w:r>
      <w:r w:rsidRPr="005D177D">
        <w:rPr>
          <w:rFonts w:cstheme="minorHAnsi"/>
          <w:sz w:val="24"/>
          <w:szCs w:val="24"/>
        </w:rPr>
        <w:tab/>
        <w:t>Information and Communications Technology</w:t>
      </w:r>
    </w:p>
    <w:p w14:paraId="6BE9D99C"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NAPD</w:t>
      </w:r>
      <w:r w:rsidRPr="005D177D">
        <w:rPr>
          <w:rFonts w:cstheme="minorHAnsi"/>
          <w:sz w:val="24"/>
          <w:szCs w:val="24"/>
        </w:rPr>
        <w:tab/>
      </w:r>
      <w:r w:rsidRPr="005D177D">
        <w:rPr>
          <w:rFonts w:cstheme="minorHAnsi"/>
          <w:sz w:val="24"/>
          <w:szCs w:val="24"/>
        </w:rPr>
        <w:tab/>
        <w:t>National Association of Principals and Deputy Principals</w:t>
      </w:r>
    </w:p>
    <w:p w14:paraId="11B566AA"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NERI</w:t>
      </w:r>
      <w:r w:rsidRPr="005D177D">
        <w:rPr>
          <w:rFonts w:cstheme="minorHAnsi"/>
          <w:sz w:val="24"/>
          <w:szCs w:val="24"/>
        </w:rPr>
        <w:tab/>
      </w:r>
      <w:r w:rsidRPr="005D177D">
        <w:rPr>
          <w:rFonts w:cstheme="minorHAnsi"/>
          <w:sz w:val="24"/>
          <w:szCs w:val="24"/>
        </w:rPr>
        <w:tab/>
        <w:t>Nevin Economic Research Institute</w:t>
      </w:r>
    </w:p>
    <w:p w14:paraId="14203326"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OECD</w:t>
      </w:r>
      <w:r w:rsidRPr="005D177D">
        <w:rPr>
          <w:rFonts w:cstheme="minorHAnsi"/>
          <w:sz w:val="24"/>
          <w:szCs w:val="24"/>
        </w:rPr>
        <w:tab/>
      </w:r>
      <w:r w:rsidRPr="005D177D">
        <w:rPr>
          <w:rFonts w:cstheme="minorHAnsi"/>
          <w:sz w:val="24"/>
          <w:szCs w:val="24"/>
        </w:rPr>
        <w:tab/>
        <w:t>Organisation for Economic Co-operation and Development</w:t>
      </w:r>
    </w:p>
    <w:p w14:paraId="101B2129"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SJI</w:t>
      </w:r>
      <w:r w:rsidRPr="005D177D">
        <w:rPr>
          <w:rFonts w:cstheme="minorHAnsi"/>
          <w:sz w:val="24"/>
          <w:szCs w:val="24"/>
        </w:rPr>
        <w:tab/>
      </w:r>
      <w:r w:rsidRPr="005D177D">
        <w:rPr>
          <w:rFonts w:cstheme="minorHAnsi"/>
          <w:sz w:val="24"/>
          <w:szCs w:val="24"/>
        </w:rPr>
        <w:tab/>
        <w:t>Social Justice Ireland</w:t>
      </w:r>
    </w:p>
    <w:p w14:paraId="15B93E62" w14:textId="45EAA023" w:rsidR="00DF3151" w:rsidRPr="005D177D" w:rsidRDefault="00DF3151" w:rsidP="005D177D">
      <w:pPr>
        <w:spacing w:line="360" w:lineRule="auto"/>
        <w:jc w:val="both"/>
        <w:rPr>
          <w:rFonts w:cstheme="minorHAnsi"/>
          <w:sz w:val="24"/>
          <w:szCs w:val="24"/>
        </w:rPr>
      </w:pPr>
      <w:r w:rsidRPr="005D177D">
        <w:rPr>
          <w:rFonts w:cstheme="minorHAnsi"/>
          <w:sz w:val="24"/>
          <w:szCs w:val="24"/>
        </w:rPr>
        <w:t>TUI</w:t>
      </w:r>
      <w:r w:rsidRPr="005D177D">
        <w:rPr>
          <w:rFonts w:cstheme="minorHAnsi"/>
          <w:sz w:val="24"/>
          <w:szCs w:val="24"/>
        </w:rPr>
        <w:tab/>
      </w:r>
      <w:r w:rsidRPr="005D177D">
        <w:rPr>
          <w:rFonts w:cstheme="minorHAnsi"/>
          <w:sz w:val="24"/>
          <w:szCs w:val="24"/>
        </w:rPr>
        <w:tab/>
        <w:t>Teachers’ Union of Ireland</w:t>
      </w:r>
    </w:p>
    <w:p w14:paraId="6A665339" w14:textId="7E801CBE" w:rsidR="001F05DA" w:rsidRPr="005D177D" w:rsidRDefault="001F05DA" w:rsidP="005D177D">
      <w:pPr>
        <w:spacing w:line="360" w:lineRule="auto"/>
        <w:jc w:val="both"/>
        <w:rPr>
          <w:rFonts w:cstheme="minorHAnsi"/>
          <w:sz w:val="24"/>
          <w:szCs w:val="24"/>
        </w:rPr>
      </w:pPr>
      <w:r w:rsidRPr="005D177D">
        <w:rPr>
          <w:rFonts w:cstheme="minorHAnsi"/>
          <w:sz w:val="24"/>
          <w:szCs w:val="24"/>
        </w:rPr>
        <w:t>UNDP</w:t>
      </w:r>
      <w:r w:rsidRPr="005D177D">
        <w:rPr>
          <w:rFonts w:cstheme="minorHAnsi"/>
          <w:sz w:val="24"/>
          <w:szCs w:val="24"/>
        </w:rPr>
        <w:tab/>
      </w:r>
      <w:r w:rsidRPr="005D177D">
        <w:rPr>
          <w:rFonts w:cstheme="minorHAnsi"/>
          <w:sz w:val="24"/>
          <w:szCs w:val="24"/>
        </w:rPr>
        <w:tab/>
        <w:t>United Nations Development Programme</w:t>
      </w:r>
    </w:p>
    <w:p w14:paraId="7E9AF463" w14:textId="428388AF" w:rsidR="00DF3151" w:rsidRPr="005D177D" w:rsidRDefault="00DF3151" w:rsidP="005D177D">
      <w:pPr>
        <w:spacing w:line="360" w:lineRule="auto"/>
        <w:jc w:val="both"/>
        <w:rPr>
          <w:rFonts w:cstheme="minorHAnsi"/>
          <w:sz w:val="24"/>
          <w:szCs w:val="24"/>
        </w:rPr>
      </w:pPr>
      <w:r w:rsidRPr="005D177D">
        <w:rPr>
          <w:rFonts w:cstheme="minorHAnsi"/>
          <w:sz w:val="24"/>
          <w:szCs w:val="24"/>
        </w:rPr>
        <w:br w:type="page"/>
      </w:r>
    </w:p>
    <w:p w14:paraId="199E8269" w14:textId="77777777" w:rsidR="00DF3151" w:rsidRPr="005D177D" w:rsidRDefault="00DF3151" w:rsidP="005D177D">
      <w:pPr>
        <w:spacing w:line="360" w:lineRule="auto"/>
        <w:jc w:val="both"/>
        <w:rPr>
          <w:rFonts w:cstheme="minorHAnsi"/>
          <w:b/>
          <w:sz w:val="24"/>
          <w:szCs w:val="24"/>
        </w:rPr>
      </w:pPr>
      <w:r w:rsidRPr="005D177D">
        <w:rPr>
          <w:rFonts w:cstheme="minorHAnsi"/>
          <w:b/>
          <w:sz w:val="24"/>
          <w:szCs w:val="24"/>
        </w:rPr>
        <w:t>References</w:t>
      </w:r>
    </w:p>
    <w:p w14:paraId="52CD977A" w14:textId="77777777" w:rsidR="00DF3151" w:rsidRPr="005D177D" w:rsidRDefault="00DF3151"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Boyle (2017), </w:t>
      </w:r>
      <w:r w:rsidRPr="005D177D">
        <w:rPr>
          <w:rFonts w:cstheme="minorHAnsi"/>
          <w:i/>
          <w:sz w:val="24"/>
          <w:szCs w:val="24"/>
        </w:rPr>
        <w:t>Public Sector Trends 2017</w:t>
      </w:r>
      <w:r w:rsidRPr="005D177D">
        <w:rPr>
          <w:rFonts w:cstheme="minorHAnsi"/>
          <w:sz w:val="24"/>
          <w:szCs w:val="24"/>
        </w:rPr>
        <w:t>, Dublin: Institute of Public Administration</w:t>
      </w:r>
    </w:p>
    <w:p w14:paraId="343916A3" w14:textId="77777777" w:rsidR="00DF3151" w:rsidRPr="005D177D" w:rsidRDefault="00DF3151"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Boyle (2018), </w:t>
      </w:r>
      <w:r w:rsidRPr="005D177D">
        <w:rPr>
          <w:rFonts w:cstheme="minorHAnsi"/>
          <w:i/>
          <w:sz w:val="24"/>
          <w:szCs w:val="24"/>
        </w:rPr>
        <w:t>Public Sector Trends 2018</w:t>
      </w:r>
      <w:r w:rsidRPr="005D177D">
        <w:rPr>
          <w:rFonts w:cstheme="minorHAnsi"/>
          <w:sz w:val="24"/>
          <w:szCs w:val="24"/>
        </w:rPr>
        <w:t>, Dublin: Institute of Public Administration</w:t>
      </w:r>
    </w:p>
    <w:p w14:paraId="0D263399" w14:textId="77777777" w:rsidR="00DE4CD9" w:rsidRPr="005D177D" w:rsidRDefault="00DE4CD9"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Boyle (2019), </w:t>
      </w:r>
      <w:r w:rsidRPr="005D177D">
        <w:rPr>
          <w:rFonts w:cstheme="minorHAnsi"/>
          <w:i/>
          <w:sz w:val="24"/>
          <w:szCs w:val="24"/>
        </w:rPr>
        <w:t>Public Sector Trends 2019</w:t>
      </w:r>
      <w:r w:rsidRPr="005D177D">
        <w:rPr>
          <w:rFonts w:cstheme="minorHAnsi"/>
          <w:sz w:val="24"/>
          <w:szCs w:val="24"/>
        </w:rPr>
        <w:t>, Dublin: Institute of Public Administration</w:t>
      </w:r>
    </w:p>
    <w:p w14:paraId="16BDDAB9" w14:textId="6FE7442B" w:rsidR="00666E2F" w:rsidRPr="005D177D" w:rsidRDefault="00666E2F" w:rsidP="005D177D">
      <w:pPr>
        <w:spacing w:line="360" w:lineRule="auto"/>
        <w:jc w:val="both"/>
        <w:rPr>
          <w:rFonts w:cstheme="minorHAnsi"/>
          <w:sz w:val="24"/>
          <w:szCs w:val="24"/>
        </w:rPr>
      </w:pPr>
      <w:r w:rsidRPr="005D177D">
        <w:rPr>
          <w:rFonts w:cstheme="minorHAnsi"/>
          <w:sz w:val="24"/>
          <w:szCs w:val="24"/>
        </w:rPr>
        <w:t xml:space="preserve">Clark, C. &amp; Kavanagh, C. (2021), </w:t>
      </w:r>
      <w:r w:rsidRPr="005D177D">
        <w:rPr>
          <w:rFonts w:cstheme="minorHAnsi"/>
          <w:i/>
          <w:iCs/>
          <w:sz w:val="24"/>
          <w:szCs w:val="24"/>
        </w:rPr>
        <w:t>Measuring Progress: The Sustainable Progress Index 2021</w:t>
      </w:r>
      <w:r w:rsidRPr="005D177D">
        <w:rPr>
          <w:rFonts w:cstheme="minorHAnsi"/>
          <w:sz w:val="24"/>
          <w:szCs w:val="24"/>
        </w:rPr>
        <w:t>, Dublin: Social Justice Ireland</w:t>
      </w:r>
    </w:p>
    <w:p w14:paraId="3CF145C4" w14:textId="3C54A800" w:rsidR="00774CF1" w:rsidRPr="005D177D" w:rsidRDefault="00774CF1" w:rsidP="005D177D">
      <w:pPr>
        <w:spacing w:line="360" w:lineRule="auto"/>
        <w:jc w:val="both"/>
        <w:rPr>
          <w:rFonts w:cstheme="minorHAnsi"/>
          <w:sz w:val="24"/>
          <w:szCs w:val="24"/>
        </w:rPr>
      </w:pPr>
      <w:r w:rsidRPr="005D177D">
        <w:rPr>
          <w:rFonts w:cstheme="minorHAnsi"/>
          <w:sz w:val="24"/>
          <w:szCs w:val="24"/>
        </w:rPr>
        <w:t xml:space="preserve">Clerkin, A., Perkins, R. &amp; Chubb, E. (2020), </w:t>
      </w:r>
      <w:r w:rsidRPr="005D177D">
        <w:rPr>
          <w:rFonts w:cstheme="minorHAnsi"/>
          <w:i/>
          <w:iCs/>
          <w:sz w:val="24"/>
          <w:szCs w:val="24"/>
        </w:rPr>
        <w:t>The Home Learning Environment in Ireland: Insights from TIMSS 2015 in Ireland</w:t>
      </w:r>
      <w:r w:rsidRPr="005D177D">
        <w:rPr>
          <w:rFonts w:cstheme="minorHAnsi"/>
          <w:sz w:val="24"/>
          <w:szCs w:val="24"/>
        </w:rPr>
        <w:t>, Dublin; Educational Research Centre</w:t>
      </w:r>
    </w:p>
    <w:p w14:paraId="0F0E42A1" w14:textId="77777777" w:rsidR="00DF3151" w:rsidRPr="005D177D" w:rsidRDefault="00DF3151" w:rsidP="005D177D">
      <w:pPr>
        <w:spacing w:after="200" w:line="360" w:lineRule="auto"/>
        <w:jc w:val="both"/>
        <w:rPr>
          <w:rFonts w:cstheme="minorHAnsi"/>
          <w:sz w:val="24"/>
          <w:szCs w:val="24"/>
        </w:rPr>
      </w:pPr>
      <w:r w:rsidRPr="005D177D">
        <w:rPr>
          <w:rFonts w:cstheme="minorHAnsi"/>
          <w:sz w:val="24"/>
          <w:szCs w:val="24"/>
        </w:rPr>
        <w:t xml:space="preserve">Comhairle na nOg (2017), </w:t>
      </w:r>
      <w:r w:rsidRPr="005D177D">
        <w:rPr>
          <w:rFonts w:cstheme="minorHAnsi"/>
          <w:i/>
          <w:sz w:val="24"/>
          <w:szCs w:val="24"/>
        </w:rPr>
        <w:t>So, How Was School Today?</w:t>
      </w:r>
      <w:r w:rsidRPr="005D177D">
        <w:rPr>
          <w:rFonts w:cstheme="minorHAnsi"/>
          <w:sz w:val="24"/>
          <w:szCs w:val="24"/>
        </w:rPr>
        <w:t xml:space="preserve"> Dublin: Department of Children and Youth Affairs </w:t>
      </w:r>
    </w:p>
    <w:p w14:paraId="311EC679" w14:textId="77777777" w:rsidR="00DF3151" w:rsidRPr="005D177D" w:rsidRDefault="00DF3151" w:rsidP="005D177D">
      <w:pPr>
        <w:spacing w:line="360" w:lineRule="auto"/>
        <w:jc w:val="both"/>
        <w:rPr>
          <w:rFonts w:eastAsia="Calibri" w:cstheme="minorHAnsi"/>
          <w:sz w:val="24"/>
          <w:szCs w:val="24"/>
          <w:lang w:val="en-US"/>
        </w:rPr>
      </w:pPr>
      <w:r w:rsidRPr="005D177D">
        <w:rPr>
          <w:rFonts w:eastAsia="Calibri" w:cstheme="minorHAnsi"/>
          <w:sz w:val="24"/>
          <w:szCs w:val="24"/>
          <w:lang w:val="en-US"/>
        </w:rPr>
        <w:t xml:space="preserve">Coolahan, J. (2017), “I am Never Happier than When I am with Teachers and School Leaders”, </w:t>
      </w:r>
      <w:r w:rsidRPr="005D177D">
        <w:rPr>
          <w:rFonts w:eastAsia="Calibri" w:cstheme="minorHAnsi"/>
          <w:i/>
          <w:sz w:val="24"/>
          <w:szCs w:val="24"/>
          <w:lang w:val="en-US"/>
        </w:rPr>
        <w:t>Pushing Boundaries, Expanding Vistas: Celebrating the work of John Coolahan</w:t>
      </w:r>
      <w:r w:rsidRPr="005D177D">
        <w:rPr>
          <w:rFonts w:eastAsia="Calibri" w:cstheme="minorHAnsi"/>
          <w:sz w:val="24"/>
          <w:szCs w:val="24"/>
          <w:lang w:val="en-US"/>
        </w:rPr>
        <w:t>, Walsh, T., Dolan, R. eds. (2019), Maynooth: Maynooth University Department of Education</w:t>
      </w:r>
    </w:p>
    <w:p w14:paraId="04B0DB57"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CSO (2009), </w:t>
      </w:r>
      <w:r w:rsidRPr="005D177D">
        <w:rPr>
          <w:rFonts w:cstheme="minorHAnsi"/>
          <w:i/>
          <w:sz w:val="24"/>
          <w:szCs w:val="24"/>
        </w:rPr>
        <w:t>Children and Young People in Ireland 2008</w:t>
      </w:r>
      <w:r w:rsidRPr="005D177D">
        <w:rPr>
          <w:rFonts w:cstheme="minorHAnsi"/>
          <w:sz w:val="24"/>
          <w:szCs w:val="24"/>
        </w:rPr>
        <w:t xml:space="preserve">, Cork: Central Statistics Office </w:t>
      </w:r>
    </w:p>
    <w:p w14:paraId="0FDB41BF"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CSO (2017), </w:t>
      </w:r>
      <w:r w:rsidRPr="005D177D">
        <w:rPr>
          <w:rFonts w:cstheme="minorHAnsi"/>
          <w:i/>
          <w:sz w:val="24"/>
          <w:szCs w:val="24"/>
        </w:rPr>
        <w:t>Vital Statistics Yearly Summary 2016</w:t>
      </w:r>
      <w:r w:rsidRPr="005D177D">
        <w:rPr>
          <w:rFonts w:cstheme="minorHAnsi"/>
          <w:sz w:val="24"/>
          <w:szCs w:val="24"/>
        </w:rPr>
        <w:t>, Cork: Central Statistics Office</w:t>
      </w:r>
    </w:p>
    <w:p w14:paraId="6975E525" w14:textId="77777777" w:rsidR="00DF3151" w:rsidRPr="005D177D" w:rsidRDefault="00DF3151" w:rsidP="005D177D">
      <w:pPr>
        <w:spacing w:line="360" w:lineRule="auto"/>
        <w:jc w:val="both"/>
        <w:rPr>
          <w:rFonts w:cstheme="minorHAnsi"/>
          <w:sz w:val="24"/>
          <w:szCs w:val="24"/>
        </w:rPr>
      </w:pPr>
      <w:r w:rsidRPr="005D177D">
        <w:rPr>
          <w:rFonts w:eastAsia="Calibri" w:cstheme="minorHAnsi"/>
          <w:sz w:val="24"/>
          <w:szCs w:val="24"/>
          <w:lang w:val="en-US"/>
        </w:rPr>
        <w:t xml:space="preserve">CSO (2019), </w:t>
      </w:r>
      <w:r w:rsidRPr="005D177D">
        <w:rPr>
          <w:rFonts w:eastAsia="Calibri" w:cstheme="minorHAnsi"/>
          <w:i/>
          <w:sz w:val="24"/>
          <w:szCs w:val="24"/>
          <w:lang w:val="en-US"/>
        </w:rPr>
        <w:t>Educational Attainment Thematic Report 2019</w:t>
      </w:r>
      <w:r w:rsidRPr="005D177D">
        <w:rPr>
          <w:rFonts w:eastAsia="Calibri" w:cstheme="minorHAnsi"/>
          <w:sz w:val="24"/>
          <w:szCs w:val="24"/>
          <w:lang w:val="en-US"/>
        </w:rPr>
        <w:t>, Cork: Central Statistics Office</w:t>
      </w:r>
    </w:p>
    <w:p w14:paraId="6311E407" w14:textId="44846CD1" w:rsidR="00237348" w:rsidRPr="005D177D" w:rsidRDefault="00237348" w:rsidP="005D177D">
      <w:pPr>
        <w:spacing w:line="360" w:lineRule="auto"/>
        <w:jc w:val="both"/>
        <w:rPr>
          <w:rFonts w:cstheme="minorHAnsi"/>
          <w:sz w:val="24"/>
          <w:szCs w:val="24"/>
        </w:rPr>
      </w:pPr>
      <w:r w:rsidRPr="005D177D">
        <w:rPr>
          <w:rFonts w:eastAsia="Calibri" w:cstheme="minorHAnsi"/>
          <w:sz w:val="24"/>
          <w:szCs w:val="24"/>
          <w:lang w:val="en-US"/>
        </w:rPr>
        <w:t xml:space="preserve">CSO (2020), </w:t>
      </w:r>
      <w:r w:rsidRPr="005D177D">
        <w:rPr>
          <w:rFonts w:eastAsia="Calibri" w:cstheme="minorHAnsi"/>
          <w:i/>
          <w:sz w:val="24"/>
          <w:szCs w:val="24"/>
          <w:lang w:val="en-US"/>
        </w:rPr>
        <w:t>Measuring Ireland’s Progress 2018</w:t>
      </w:r>
      <w:r w:rsidRPr="005D177D">
        <w:rPr>
          <w:rFonts w:eastAsia="Calibri" w:cstheme="minorHAnsi"/>
          <w:sz w:val="24"/>
          <w:szCs w:val="24"/>
          <w:lang w:val="en-US"/>
        </w:rPr>
        <w:t>, Cork: Central Statistics Office</w:t>
      </w:r>
    </w:p>
    <w:p w14:paraId="4065C612" w14:textId="77777777" w:rsidR="000737B9" w:rsidRPr="005D177D" w:rsidRDefault="000737B9" w:rsidP="005D177D">
      <w:pPr>
        <w:spacing w:line="360" w:lineRule="auto"/>
        <w:jc w:val="both"/>
        <w:rPr>
          <w:rFonts w:cstheme="minorHAnsi"/>
          <w:sz w:val="24"/>
          <w:szCs w:val="24"/>
        </w:rPr>
      </w:pPr>
      <w:bookmarkStart w:id="2" w:name="_Hlk47014833"/>
      <w:r w:rsidRPr="005D177D">
        <w:rPr>
          <w:rFonts w:cstheme="minorHAnsi"/>
          <w:sz w:val="24"/>
          <w:szCs w:val="24"/>
        </w:rPr>
        <w:t xml:space="preserve">DCYA (2020), </w:t>
      </w:r>
      <w:r w:rsidRPr="005D177D">
        <w:rPr>
          <w:rFonts w:cstheme="minorHAnsi"/>
          <w:i/>
          <w:iCs/>
          <w:sz w:val="24"/>
          <w:szCs w:val="24"/>
        </w:rPr>
        <w:t>Income, Poverty and Deprivation Among Children: A statistical baseline analysis</w:t>
      </w:r>
      <w:r w:rsidRPr="005D177D">
        <w:rPr>
          <w:rFonts w:cstheme="minorHAnsi"/>
          <w:sz w:val="24"/>
          <w:szCs w:val="24"/>
        </w:rPr>
        <w:t>, Dublin: Department of Children and Youth Affairs</w:t>
      </w:r>
    </w:p>
    <w:bookmarkEnd w:id="2"/>
    <w:p w14:paraId="5F563F22"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DES (2018a), </w:t>
      </w:r>
      <w:r w:rsidRPr="005D177D">
        <w:rPr>
          <w:rFonts w:cstheme="minorHAnsi"/>
          <w:i/>
          <w:sz w:val="24"/>
          <w:szCs w:val="24"/>
        </w:rPr>
        <w:t>Chief Inspector’s Report 2013-2016</w:t>
      </w:r>
      <w:r w:rsidRPr="005D177D">
        <w:rPr>
          <w:rFonts w:cstheme="minorHAnsi"/>
          <w:sz w:val="24"/>
          <w:szCs w:val="24"/>
        </w:rPr>
        <w:t xml:space="preserve">, Dublin: Department of Education and Skills Inspectorate </w:t>
      </w:r>
    </w:p>
    <w:p w14:paraId="0AC0F3EA"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DES (2018b), </w:t>
      </w:r>
      <w:r w:rsidRPr="005D177D">
        <w:rPr>
          <w:rFonts w:cstheme="minorHAnsi"/>
          <w:i/>
          <w:sz w:val="24"/>
          <w:szCs w:val="24"/>
        </w:rPr>
        <w:t xml:space="preserve">Opening Statement to the Joint Oireachtas Committee on Education and Skills, </w:t>
      </w:r>
      <w:r w:rsidRPr="005D177D">
        <w:rPr>
          <w:rFonts w:cstheme="minorHAnsi"/>
          <w:sz w:val="24"/>
          <w:szCs w:val="24"/>
        </w:rPr>
        <w:t>August 29</w:t>
      </w:r>
      <w:r w:rsidRPr="005D177D">
        <w:rPr>
          <w:rFonts w:cstheme="minorHAnsi"/>
          <w:sz w:val="24"/>
          <w:szCs w:val="24"/>
          <w:vertAlign w:val="superscript"/>
        </w:rPr>
        <w:t>th</w:t>
      </w:r>
      <w:r w:rsidRPr="005D177D">
        <w:rPr>
          <w:rFonts w:cstheme="minorHAnsi"/>
          <w:sz w:val="24"/>
          <w:szCs w:val="24"/>
        </w:rPr>
        <w:t xml:space="preserve">, 2018 </w:t>
      </w:r>
    </w:p>
    <w:p w14:paraId="275A1573"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DES (2018c), </w:t>
      </w:r>
      <w:r w:rsidRPr="005D177D">
        <w:rPr>
          <w:rFonts w:cstheme="minorHAnsi"/>
          <w:i/>
          <w:sz w:val="24"/>
          <w:szCs w:val="24"/>
        </w:rPr>
        <w:t xml:space="preserve">Minister’s Brief: Overview, </w:t>
      </w:r>
      <w:r w:rsidRPr="005D177D">
        <w:rPr>
          <w:rFonts w:cstheme="minorHAnsi"/>
          <w:sz w:val="24"/>
          <w:szCs w:val="24"/>
        </w:rPr>
        <w:t xml:space="preserve">Dublin: Department of Education and Skills </w:t>
      </w:r>
    </w:p>
    <w:p w14:paraId="3416C7B9" w14:textId="2F1E8BE7" w:rsidR="00A02D26" w:rsidRPr="005D177D" w:rsidRDefault="00A02D26"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DES (2018d), </w:t>
      </w:r>
      <w:r w:rsidRPr="005D177D">
        <w:rPr>
          <w:rFonts w:cstheme="minorHAnsi"/>
          <w:i/>
          <w:sz w:val="24"/>
          <w:szCs w:val="24"/>
        </w:rPr>
        <w:t>Projections of Demand for Full-Time Third Level Education 2018 to 2040</w:t>
      </w:r>
      <w:r w:rsidRPr="005D177D">
        <w:rPr>
          <w:rFonts w:cstheme="minorHAnsi"/>
          <w:sz w:val="24"/>
          <w:szCs w:val="24"/>
        </w:rPr>
        <w:t>, Dublin: Department of Education and Skills</w:t>
      </w:r>
    </w:p>
    <w:p w14:paraId="45F5B485"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Eivers, E. (2019), Left to their Own Devices: Trends in ICT at primary school level, Cork: Irish Primary Principals Network</w:t>
      </w:r>
    </w:p>
    <w:p w14:paraId="3A867716" w14:textId="77777777" w:rsidR="000737B9" w:rsidRPr="005D177D" w:rsidRDefault="000737B9" w:rsidP="005D177D">
      <w:pPr>
        <w:spacing w:line="360" w:lineRule="auto"/>
        <w:jc w:val="both"/>
        <w:rPr>
          <w:rFonts w:cstheme="minorHAnsi"/>
          <w:sz w:val="24"/>
          <w:szCs w:val="24"/>
        </w:rPr>
      </w:pPr>
      <w:bookmarkStart w:id="3" w:name="_Hlk47014931"/>
      <w:r w:rsidRPr="005D177D">
        <w:rPr>
          <w:rFonts w:cstheme="minorHAnsi"/>
          <w:sz w:val="24"/>
          <w:szCs w:val="24"/>
        </w:rPr>
        <w:t xml:space="preserve">ESRI (2020), </w:t>
      </w:r>
      <w:r w:rsidRPr="005D177D">
        <w:rPr>
          <w:rFonts w:cstheme="minorHAnsi"/>
          <w:i/>
          <w:sz w:val="24"/>
          <w:szCs w:val="24"/>
        </w:rPr>
        <w:t xml:space="preserve">Growing Up in Ireland The Lives of 17/18 Year Olds, </w:t>
      </w:r>
      <w:r w:rsidRPr="005D177D">
        <w:rPr>
          <w:rFonts w:cstheme="minorHAnsi"/>
          <w:sz w:val="24"/>
          <w:szCs w:val="24"/>
        </w:rPr>
        <w:t>Dublin: Economic and Social Research Institute</w:t>
      </w:r>
    </w:p>
    <w:bookmarkEnd w:id="3"/>
    <w:p w14:paraId="547005A8" w14:textId="77777777" w:rsidR="00DF3151" w:rsidRPr="005D177D" w:rsidRDefault="00DF3151" w:rsidP="005D177D">
      <w:pPr>
        <w:autoSpaceDE w:val="0"/>
        <w:autoSpaceDN w:val="0"/>
        <w:adjustRightInd w:val="0"/>
        <w:spacing w:after="0" w:line="360" w:lineRule="auto"/>
        <w:jc w:val="both"/>
        <w:rPr>
          <w:rFonts w:eastAsia="BrandonGrotesque-Regular" w:cstheme="minorHAnsi"/>
          <w:sz w:val="24"/>
          <w:szCs w:val="24"/>
        </w:rPr>
      </w:pPr>
      <w:r w:rsidRPr="005D177D">
        <w:rPr>
          <w:rFonts w:eastAsia="BrandonGrotesque-Regular" w:cstheme="minorHAnsi"/>
          <w:sz w:val="24"/>
          <w:szCs w:val="24"/>
        </w:rPr>
        <w:t xml:space="preserve">EU Commission (2018), </w:t>
      </w:r>
      <w:r w:rsidRPr="005D177D">
        <w:rPr>
          <w:rFonts w:eastAsia="BrandonGrotesque-Regular" w:cstheme="minorHAnsi"/>
          <w:i/>
          <w:sz w:val="24"/>
          <w:szCs w:val="24"/>
        </w:rPr>
        <w:t>Labour Market Policy Thematic Review 2018</w:t>
      </w:r>
      <w:r w:rsidRPr="005D177D">
        <w:rPr>
          <w:rFonts w:eastAsia="BrandonGrotesque-Regular" w:cstheme="minorHAnsi"/>
          <w:sz w:val="24"/>
          <w:szCs w:val="24"/>
        </w:rPr>
        <w:t>, Luxembourg: Publications Office of the European Union</w:t>
      </w:r>
    </w:p>
    <w:p w14:paraId="6895F371" w14:textId="77777777" w:rsidR="00DF3151" w:rsidRPr="005D177D" w:rsidRDefault="00DF3151" w:rsidP="005D177D">
      <w:pPr>
        <w:spacing w:line="360" w:lineRule="auto"/>
        <w:jc w:val="both"/>
        <w:rPr>
          <w:rFonts w:cstheme="minorHAnsi"/>
          <w:sz w:val="24"/>
          <w:szCs w:val="24"/>
        </w:rPr>
      </w:pPr>
      <w:r w:rsidRPr="005D177D">
        <w:rPr>
          <w:rFonts w:eastAsia="BrandonGrotesque-Regular" w:cstheme="minorHAnsi"/>
          <w:sz w:val="24"/>
          <w:szCs w:val="24"/>
        </w:rPr>
        <w:t xml:space="preserve">EU Commission (2019a), </w:t>
      </w:r>
      <w:r w:rsidRPr="005D177D">
        <w:rPr>
          <w:rFonts w:eastAsia="BrandonGrotesque-Regular" w:cstheme="minorHAnsi"/>
          <w:i/>
          <w:sz w:val="24"/>
          <w:szCs w:val="24"/>
        </w:rPr>
        <w:t>Country Report Ireland 2019</w:t>
      </w:r>
      <w:r w:rsidRPr="005D177D">
        <w:rPr>
          <w:rFonts w:eastAsia="BrandonGrotesque-Regular" w:cstheme="minorHAnsi"/>
          <w:sz w:val="24"/>
          <w:szCs w:val="24"/>
        </w:rPr>
        <w:t>, Brussels: European Commission</w:t>
      </w:r>
      <w:r w:rsidRPr="005D177D">
        <w:rPr>
          <w:rFonts w:cstheme="minorHAnsi"/>
          <w:sz w:val="24"/>
          <w:szCs w:val="24"/>
        </w:rPr>
        <w:t xml:space="preserve"> </w:t>
      </w:r>
    </w:p>
    <w:p w14:paraId="5BA92817" w14:textId="77777777" w:rsidR="00DF3151" w:rsidRPr="005D177D" w:rsidRDefault="00DF3151" w:rsidP="005D177D">
      <w:pPr>
        <w:spacing w:line="360" w:lineRule="auto"/>
        <w:jc w:val="both"/>
        <w:rPr>
          <w:rFonts w:cstheme="minorHAnsi"/>
          <w:sz w:val="24"/>
          <w:szCs w:val="24"/>
        </w:rPr>
      </w:pPr>
      <w:r w:rsidRPr="005D177D">
        <w:rPr>
          <w:rFonts w:eastAsia="BrandonGrotesque-Regular" w:cstheme="minorHAnsi"/>
          <w:sz w:val="24"/>
          <w:szCs w:val="24"/>
        </w:rPr>
        <w:t xml:space="preserve">EU Commission (2019b), </w:t>
      </w:r>
      <w:r w:rsidRPr="005D177D">
        <w:rPr>
          <w:rFonts w:eastAsia="BrandonGrotesque-Regular" w:cstheme="minorHAnsi"/>
          <w:i/>
          <w:sz w:val="24"/>
          <w:szCs w:val="24"/>
        </w:rPr>
        <w:t>Education and Training Monitor 2019</w:t>
      </w:r>
      <w:r w:rsidRPr="005D177D">
        <w:rPr>
          <w:rFonts w:eastAsia="BrandonGrotesque-Regular" w:cstheme="minorHAnsi"/>
          <w:sz w:val="24"/>
          <w:szCs w:val="24"/>
        </w:rPr>
        <w:t>, Brussels: European Commission</w:t>
      </w:r>
      <w:r w:rsidRPr="005D177D">
        <w:rPr>
          <w:rFonts w:cstheme="minorHAnsi"/>
          <w:sz w:val="24"/>
          <w:szCs w:val="24"/>
        </w:rPr>
        <w:t xml:space="preserve"> </w:t>
      </w:r>
    </w:p>
    <w:p w14:paraId="1040F594"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EU Commission / EACEA / Eurydice (2018), </w:t>
      </w:r>
      <w:r w:rsidRPr="005D177D">
        <w:rPr>
          <w:rFonts w:cstheme="minorHAnsi"/>
          <w:i/>
          <w:sz w:val="24"/>
          <w:szCs w:val="24"/>
        </w:rPr>
        <w:t>The European Higher Education Area in 2018: Bologna process implementation report</w:t>
      </w:r>
      <w:r w:rsidRPr="005D177D">
        <w:rPr>
          <w:rFonts w:cstheme="minorHAnsi"/>
          <w:sz w:val="24"/>
          <w:szCs w:val="24"/>
        </w:rPr>
        <w:t xml:space="preserve">, Luxembourg: Publications Office of the European Union </w:t>
      </w:r>
    </w:p>
    <w:p w14:paraId="2719DC8C" w14:textId="77777777" w:rsidR="002A4917" w:rsidRPr="005D177D" w:rsidRDefault="002A4917" w:rsidP="005D177D">
      <w:pPr>
        <w:spacing w:line="360" w:lineRule="auto"/>
        <w:jc w:val="both"/>
        <w:rPr>
          <w:rFonts w:cstheme="minorHAnsi"/>
          <w:sz w:val="24"/>
          <w:szCs w:val="24"/>
        </w:rPr>
      </w:pPr>
      <w:r w:rsidRPr="005D177D">
        <w:rPr>
          <w:rFonts w:cstheme="minorHAnsi"/>
          <w:sz w:val="24"/>
          <w:szCs w:val="24"/>
        </w:rPr>
        <w:t xml:space="preserve">Eurofound (2020), </w:t>
      </w:r>
      <w:r w:rsidRPr="005D177D">
        <w:rPr>
          <w:rFonts w:cstheme="minorHAnsi"/>
          <w:i/>
          <w:iCs/>
          <w:sz w:val="24"/>
          <w:szCs w:val="24"/>
        </w:rPr>
        <w:t>Living and Working in Europe</w:t>
      </w:r>
      <w:r w:rsidRPr="005D177D">
        <w:rPr>
          <w:rFonts w:cstheme="minorHAnsi"/>
          <w:sz w:val="24"/>
          <w:szCs w:val="24"/>
        </w:rPr>
        <w:t>, Luxembourg: Publications Office of the European Union</w:t>
      </w:r>
    </w:p>
    <w:p w14:paraId="262EC007"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Eurostat (2015), </w:t>
      </w:r>
      <w:r w:rsidRPr="005D177D">
        <w:rPr>
          <w:rFonts w:cstheme="minorHAnsi"/>
          <w:i/>
          <w:sz w:val="24"/>
          <w:szCs w:val="24"/>
        </w:rPr>
        <w:t>Being Young in Europe Today</w:t>
      </w:r>
      <w:r w:rsidRPr="005D177D">
        <w:rPr>
          <w:rFonts w:cstheme="minorHAnsi"/>
          <w:sz w:val="24"/>
          <w:szCs w:val="24"/>
        </w:rPr>
        <w:t>, Luxembourg: Publications Office of the European Union</w:t>
      </w:r>
    </w:p>
    <w:p w14:paraId="6A8985DC"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Eurostat (2017), </w:t>
      </w:r>
      <w:r w:rsidRPr="005D177D">
        <w:rPr>
          <w:rFonts w:cstheme="minorHAnsi"/>
          <w:i/>
          <w:sz w:val="24"/>
          <w:szCs w:val="24"/>
        </w:rPr>
        <w:t>Fertility Statistics</w:t>
      </w:r>
      <w:r w:rsidRPr="005D177D">
        <w:rPr>
          <w:rFonts w:cstheme="minorHAnsi"/>
          <w:sz w:val="24"/>
          <w:szCs w:val="24"/>
        </w:rPr>
        <w:t>, Luxembourg: Publications Office of the European Union</w:t>
      </w:r>
    </w:p>
    <w:p w14:paraId="18401384" w14:textId="4AA6C4F5" w:rsidR="0021436E" w:rsidRPr="005D177D" w:rsidRDefault="0021436E" w:rsidP="005D177D">
      <w:pPr>
        <w:pStyle w:val="Default"/>
        <w:spacing w:line="360" w:lineRule="auto"/>
        <w:jc w:val="both"/>
        <w:rPr>
          <w:rFonts w:asciiTheme="minorHAnsi" w:hAnsiTheme="minorHAnsi" w:cstheme="minorHAnsi"/>
          <w:color w:val="auto"/>
        </w:rPr>
      </w:pPr>
      <w:r w:rsidRPr="005D177D">
        <w:rPr>
          <w:rFonts w:asciiTheme="minorHAnsi" w:hAnsiTheme="minorHAnsi" w:cstheme="minorHAnsi"/>
          <w:color w:val="auto"/>
        </w:rPr>
        <w:t xml:space="preserve">Government of Ireland (2019), </w:t>
      </w:r>
      <w:r w:rsidRPr="005D177D">
        <w:rPr>
          <w:rFonts w:asciiTheme="minorHAnsi" w:hAnsiTheme="minorHAnsi" w:cstheme="minorHAnsi"/>
          <w:i/>
          <w:color w:val="auto"/>
        </w:rPr>
        <w:t>Health in Ireland: Key trends 2019</w:t>
      </w:r>
      <w:r w:rsidRPr="005D177D">
        <w:rPr>
          <w:rFonts w:asciiTheme="minorHAnsi" w:hAnsiTheme="minorHAnsi" w:cstheme="minorHAnsi"/>
          <w:color w:val="auto"/>
        </w:rPr>
        <w:t>, Dublin: Department of Health</w:t>
      </w:r>
    </w:p>
    <w:p w14:paraId="50398856"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Growing Up in Ireland (2017), </w:t>
      </w:r>
      <w:r w:rsidRPr="005D177D">
        <w:rPr>
          <w:rFonts w:cstheme="minorHAnsi"/>
          <w:i/>
          <w:sz w:val="24"/>
          <w:szCs w:val="24"/>
        </w:rPr>
        <w:t>Key Findings: Infant cohort at 7/8 years, School and learning</w:t>
      </w:r>
      <w:r w:rsidRPr="005D177D">
        <w:rPr>
          <w:rFonts w:cstheme="minorHAnsi"/>
          <w:sz w:val="24"/>
          <w:szCs w:val="24"/>
        </w:rPr>
        <w:t xml:space="preserve">, Dublin: ESRI </w:t>
      </w:r>
    </w:p>
    <w:p w14:paraId="7B9383CC" w14:textId="77777777" w:rsidR="00DF3151" w:rsidRPr="005D177D" w:rsidRDefault="00DF3151" w:rsidP="005D177D">
      <w:pPr>
        <w:spacing w:line="360" w:lineRule="auto"/>
        <w:jc w:val="both"/>
        <w:rPr>
          <w:rFonts w:cstheme="minorHAnsi"/>
          <w:sz w:val="24"/>
          <w:szCs w:val="24"/>
        </w:rPr>
      </w:pPr>
      <w:bookmarkStart w:id="4" w:name="_Hlk2691887"/>
      <w:r w:rsidRPr="005D177D">
        <w:rPr>
          <w:rFonts w:cstheme="minorHAnsi"/>
          <w:sz w:val="24"/>
          <w:szCs w:val="24"/>
        </w:rPr>
        <w:t xml:space="preserve">HEA (2019), </w:t>
      </w:r>
      <w:r w:rsidRPr="005D177D">
        <w:rPr>
          <w:rFonts w:cstheme="minorHAnsi"/>
          <w:i/>
          <w:sz w:val="24"/>
          <w:szCs w:val="24"/>
        </w:rPr>
        <w:t>Public Perceptions of Higher Education in Ireland</w:t>
      </w:r>
      <w:r w:rsidRPr="005D177D">
        <w:rPr>
          <w:rFonts w:cstheme="minorHAnsi"/>
          <w:sz w:val="24"/>
          <w:szCs w:val="24"/>
        </w:rPr>
        <w:t>, Dublin: Higher Education Authority / Kantar MillwardBrown</w:t>
      </w:r>
    </w:p>
    <w:bookmarkEnd w:id="4"/>
    <w:p w14:paraId="02DCB608" w14:textId="77777777" w:rsidR="00DF3151" w:rsidRPr="005D177D" w:rsidRDefault="00DF3151"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Kantar Millward Brown (2018), </w:t>
      </w:r>
      <w:r w:rsidRPr="005D177D">
        <w:rPr>
          <w:rFonts w:cstheme="minorHAnsi"/>
          <w:i/>
          <w:sz w:val="24"/>
          <w:szCs w:val="24"/>
        </w:rPr>
        <w:t>Our Faith in Institutions</w:t>
      </w:r>
      <w:r w:rsidRPr="005D177D">
        <w:rPr>
          <w:rFonts w:cstheme="minorHAnsi"/>
          <w:sz w:val="24"/>
          <w:szCs w:val="24"/>
        </w:rPr>
        <w:t>, Dublin: Kantar Millward Brown</w:t>
      </w:r>
    </w:p>
    <w:p w14:paraId="7C03291E" w14:textId="77777777" w:rsidR="0059735C" w:rsidRPr="005D177D" w:rsidRDefault="0059735C" w:rsidP="005D177D">
      <w:pPr>
        <w:spacing w:line="360" w:lineRule="auto"/>
        <w:jc w:val="both"/>
        <w:rPr>
          <w:rFonts w:cstheme="minorHAnsi"/>
          <w:sz w:val="24"/>
          <w:szCs w:val="24"/>
        </w:rPr>
      </w:pPr>
      <w:r w:rsidRPr="005D177D">
        <w:rPr>
          <w:rFonts w:cstheme="minorHAnsi"/>
          <w:sz w:val="24"/>
          <w:szCs w:val="24"/>
        </w:rPr>
        <w:t xml:space="preserve">McKeown, C., Denner, S., McAteer, S., Shiel, G., O’Keeffe, L. (2019), </w:t>
      </w:r>
      <w:r w:rsidRPr="005D177D">
        <w:rPr>
          <w:rFonts w:cstheme="minorHAnsi"/>
          <w:i/>
          <w:sz w:val="24"/>
          <w:szCs w:val="24"/>
        </w:rPr>
        <w:t>Learning for the Future: the performance of 15-year-olds in Ireland on reading literacy, science and mathematics in PISA 2018</w:t>
      </w:r>
      <w:r w:rsidRPr="005D177D">
        <w:rPr>
          <w:rFonts w:cstheme="minorHAnsi"/>
          <w:sz w:val="24"/>
          <w:szCs w:val="24"/>
        </w:rPr>
        <w:t>, Dublin: Educational Research Centre</w:t>
      </w:r>
    </w:p>
    <w:p w14:paraId="204D508C" w14:textId="77777777" w:rsidR="00B62CE4" w:rsidRPr="005D177D" w:rsidRDefault="00B62CE4" w:rsidP="005D177D">
      <w:pPr>
        <w:spacing w:line="360" w:lineRule="auto"/>
        <w:jc w:val="both"/>
        <w:rPr>
          <w:rFonts w:cstheme="minorHAnsi"/>
          <w:sz w:val="24"/>
          <w:szCs w:val="24"/>
        </w:rPr>
      </w:pPr>
      <w:bookmarkStart w:id="5" w:name="_Hlk51330512"/>
      <w:r w:rsidRPr="005D177D">
        <w:rPr>
          <w:rFonts w:cstheme="minorHAnsi"/>
          <w:sz w:val="24"/>
          <w:szCs w:val="24"/>
        </w:rPr>
        <w:t xml:space="preserve">McNamara, E., Murphy, D., Murray, A., Smyth, E. &amp; Watson, D. (2020), </w:t>
      </w:r>
      <w:r w:rsidRPr="005D177D">
        <w:rPr>
          <w:rFonts w:cstheme="minorHAnsi"/>
          <w:i/>
          <w:sz w:val="24"/>
          <w:szCs w:val="24"/>
        </w:rPr>
        <w:t>The Lives of 17/18 Year Olds</w:t>
      </w:r>
      <w:r w:rsidRPr="005D177D">
        <w:rPr>
          <w:rFonts w:cstheme="minorHAnsi"/>
          <w:sz w:val="24"/>
          <w:szCs w:val="24"/>
        </w:rPr>
        <w:t>, Dublin: Growing Up in Ireland</w:t>
      </w:r>
    </w:p>
    <w:bookmarkEnd w:id="5"/>
    <w:p w14:paraId="085B9D12" w14:textId="77777777" w:rsidR="00DF3151" w:rsidRPr="005D177D" w:rsidRDefault="00DF3151" w:rsidP="005D177D">
      <w:pPr>
        <w:spacing w:line="360" w:lineRule="auto"/>
        <w:jc w:val="both"/>
        <w:rPr>
          <w:rFonts w:cstheme="minorHAnsi"/>
          <w:sz w:val="24"/>
          <w:szCs w:val="24"/>
          <w:lang w:val="en-US"/>
        </w:rPr>
      </w:pPr>
      <w:r w:rsidRPr="005D177D">
        <w:rPr>
          <w:rFonts w:cstheme="minorHAnsi"/>
          <w:sz w:val="24"/>
          <w:szCs w:val="24"/>
        </w:rPr>
        <w:t xml:space="preserve">NERI (2018), </w:t>
      </w:r>
      <w:r w:rsidRPr="005D177D">
        <w:rPr>
          <w:rFonts w:cstheme="minorHAnsi"/>
          <w:i/>
          <w:sz w:val="24"/>
          <w:szCs w:val="24"/>
        </w:rPr>
        <w:t>Quarterly Economic Observer, Summer 2018</w:t>
      </w:r>
      <w:r w:rsidRPr="005D177D">
        <w:rPr>
          <w:rFonts w:cstheme="minorHAnsi"/>
          <w:sz w:val="24"/>
          <w:szCs w:val="24"/>
        </w:rPr>
        <w:t>, Dublin: Nevin Economic Research Institute</w:t>
      </w:r>
      <w:r w:rsidRPr="005D177D">
        <w:rPr>
          <w:rFonts w:cstheme="minorHAnsi"/>
          <w:sz w:val="24"/>
          <w:szCs w:val="24"/>
          <w:lang w:val="en-US"/>
        </w:rPr>
        <w:t xml:space="preserve"> </w:t>
      </w:r>
    </w:p>
    <w:p w14:paraId="1024E3AA"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OECD (2013), </w:t>
      </w:r>
      <w:r w:rsidRPr="005D177D">
        <w:rPr>
          <w:rFonts w:cstheme="minorHAnsi"/>
          <w:i/>
          <w:sz w:val="24"/>
          <w:szCs w:val="24"/>
        </w:rPr>
        <w:t>Education at a Glance 2013</w:t>
      </w:r>
      <w:r w:rsidRPr="005D177D">
        <w:rPr>
          <w:rFonts w:cstheme="minorHAnsi"/>
          <w:sz w:val="24"/>
          <w:szCs w:val="24"/>
        </w:rPr>
        <w:t>, Paris: OECD Publishing</w:t>
      </w:r>
    </w:p>
    <w:p w14:paraId="723E9E89"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OECD (2015a), </w:t>
      </w:r>
      <w:r w:rsidRPr="005D177D">
        <w:rPr>
          <w:rFonts w:cstheme="minorHAnsi"/>
          <w:i/>
          <w:sz w:val="24"/>
          <w:szCs w:val="24"/>
        </w:rPr>
        <w:t>Government at a Glance 2015</w:t>
      </w:r>
      <w:r w:rsidRPr="005D177D">
        <w:rPr>
          <w:rFonts w:cstheme="minorHAnsi"/>
          <w:sz w:val="24"/>
          <w:szCs w:val="24"/>
        </w:rPr>
        <w:t>, Paris: OECD Publishing</w:t>
      </w:r>
    </w:p>
    <w:p w14:paraId="6754ED4C"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OECD (2015b), </w:t>
      </w:r>
      <w:r w:rsidRPr="005D177D">
        <w:rPr>
          <w:rFonts w:cstheme="minorHAnsi"/>
          <w:i/>
          <w:sz w:val="24"/>
          <w:szCs w:val="24"/>
        </w:rPr>
        <w:t>Education at a Glance 2015</w:t>
      </w:r>
      <w:r w:rsidRPr="005D177D">
        <w:rPr>
          <w:rFonts w:cstheme="minorHAnsi"/>
          <w:sz w:val="24"/>
          <w:szCs w:val="24"/>
        </w:rPr>
        <w:t>, Paris: OECD Publishing</w:t>
      </w:r>
    </w:p>
    <w:p w14:paraId="3487411B"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OECD (2019a), </w:t>
      </w:r>
      <w:r w:rsidRPr="005D177D">
        <w:rPr>
          <w:rFonts w:cstheme="minorHAnsi"/>
          <w:i/>
          <w:sz w:val="24"/>
          <w:szCs w:val="24"/>
        </w:rPr>
        <w:t>Education at a Glance 2019</w:t>
      </w:r>
      <w:r w:rsidRPr="005D177D">
        <w:rPr>
          <w:rFonts w:cstheme="minorHAnsi"/>
          <w:sz w:val="24"/>
          <w:szCs w:val="24"/>
        </w:rPr>
        <w:t>, Paris: OECD Publishing</w:t>
      </w:r>
    </w:p>
    <w:p w14:paraId="43D96B6C"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OECD (2019b), </w:t>
      </w:r>
      <w:r w:rsidRPr="005D177D">
        <w:rPr>
          <w:rFonts w:cstheme="minorHAnsi"/>
          <w:i/>
          <w:sz w:val="24"/>
          <w:szCs w:val="24"/>
        </w:rPr>
        <w:t>Government at a Glance 2019</w:t>
      </w:r>
      <w:r w:rsidRPr="005D177D">
        <w:rPr>
          <w:rFonts w:cstheme="minorHAnsi"/>
          <w:sz w:val="24"/>
          <w:szCs w:val="24"/>
        </w:rPr>
        <w:t>, Paris: OECD Publishing</w:t>
      </w:r>
    </w:p>
    <w:p w14:paraId="06FAD412" w14:textId="3EE58E1B" w:rsidR="003E48CA" w:rsidRPr="005D177D" w:rsidRDefault="003E48CA" w:rsidP="005D177D">
      <w:pPr>
        <w:spacing w:line="360" w:lineRule="auto"/>
        <w:jc w:val="both"/>
        <w:rPr>
          <w:rFonts w:cstheme="minorHAnsi"/>
          <w:sz w:val="24"/>
          <w:szCs w:val="24"/>
        </w:rPr>
      </w:pPr>
      <w:r w:rsidRPr="005D177D">
        <w:rPr>
          <w:rFonts w:cstheme="minorHAnsi"/>
          <w:sz w:val="24"/>
          <w:szCs w:val="24"/>
        </w:rPr>
        <w:t xml:space="preserve">OECD (2020), </w:t>
      </w:r>
      <w:r w:rsidRPr="005D177D">
        <w:rPr>
          <w:rFonts w:cstheme="minorHAnsi"/>
          <w:i/>
          <w:sz w:val="24"/>
          <w:szCs w:val="24"/>
        </w:rPr>
        <w:t>Education Policy Outlook Ireland</w:t>
      </w:r>
      <w:r w:rsidRPr="005D177D">
        <w:rPr>
          <w:rFonts w:cstheme="minorHAnsi"/>
          <w:sz w:val="24"/>
          <w:szCs w:val="24"/>
        </w:rPr>
        <w:t>, Paris: OECD Publishing</w:t>
      </w:r>
    </w:p>
    <w:p w14:paraId="2549B97F" w14:textId="77777777" w:rsidR="00DF3151" w:rsidRPr="005D177D" w:rsidRDefault="00DF3151"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Scanlon, G. &amp; McKenna, G. (2018), </w:t>
      </w:r>
      <w:r w:rsidRPr="005D177D">
        <w:rPr>
          <w:rFonts w:cstheme="minorHAnsi"/>
          <w:i/>
          <w:sz w:val="24"/>
          <w:szCs w:val="24"/>
        </w:rPr>
        <w:t>Home Works: A study on the educational needs of children experiencing homelessness and living in emergency accommodation</w:t>
      </w:r>
      <w:r w:rsidRPr="005D177D">
        <w:rPr>
          <w:rFonts w:cstheme="minorHAnsi"/>
          <w:sz w:val="24"/>
          <w:szCs w:val="24"/>
        </w:rPr>
        <w:t xml:space="preserve">, Dublin: Children’s Rights Alliance </w:t>
      </w:r>
    </w:p>
    <w:p w14:paraId="185E145B" w14:textId="77777777" w:rsidR="00DF3151" w:rsidRPr="005D177D" w:rsidRDefault="00DF3151" w:rsidP="005D177D">
      <w:pPr>
        <w:autoSpaceDE w:val="0"/>
        <w:autoSpaceDN w:val="0"/>
        <w:adjustRightInd w:val="0"/>
        <w:spacing w:after="0" w:line="360" w:lineRule="auto"/>
        <w:jc w:val="both"/>
        <w:rPr>
          <w:rFonts w:cstheme="minorHAnsi"/>
          <w:sz w:val="24"/>
          <w:szCs w:val="24"/>
        </w:rPr>
      </w:pPr>
      <w:r w:rsidRPr="005D177D">
        <w:rPr>
          <w:rFonts w:cstheme="minorHAnsi"/>
          <w:sz w:val="24"/>
          <w:szCs w:val="24"/>
        </w:rPr>
        <w:t xml:space="preserve">SJI (2018), </w:t>
      </w:r>
      <w:r w:rsidRPr="005D177D">
        <w:rPr>
          <w:rFonts w:cstheme="minorHAnsi"/>
          <w:i/>
          <w:sz w:val="24"/>
          <w:szCs w:val="24"/>
        </w:rPr>
        <w:t>Poverty Focus 2018</w:t>
      </w:r>
      <w:r w:rsidRPr="005D177D">
        <w:rPr>
          <w:rFonts w:cstheme="minorHAnsi"/>
          <w:sz w:val="24"/>
          <w:szCs w:val="24"/>
        </w:rPr>
        <w:t>, Dublin: Social Justice Ireland</w:t>
      </w:r>
    </w:p>
    <w:p w14:paraId="6C3FAB04"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Social Progress Initiative (2018), </w:t>
      </w:r>
      <w:r w:rsidRPr="005D177D">
        <w:rPr>
          <w:rFonts w:cstheme="minorHAnsi"/>
          <w:i/>
          <w:sz w:val="24"/>
          <w:szCs w:val="24"/>
        </w:rPr>
        <w:t>Social Progress Index 2018</w:t>
      </w:r>
      <w:r w:rsidRPr="005D177D">
        <w:rPr>
          <w:rFonts w:cstheme="minorHAnsi"/>
          <w:sz w:val="24"/>
          <w:szCs w:val="24"/>
        </w:rPr>
        <w:t>, Washington DC, USA: Social Progress Imperative</w:t>
      </w:r>
    </w:p>
    <w:p w14:paraId="6190AEFD" w14:textId="6ED1BD45" w:rsidR="00DF3151" w:rsidRPr="005D177D" w:rsidRDefault="00DF3151" w:rsidP="005D177D">
      <w:pPr>
        <w:spacing w:line="360" w:lineRule="auto"/>
        <w:jc w:val="both"/>
        <w:rPr>
          <w:rFonts w:cstheme="minorHAnsi"/>
          <w:sz w:val="24"/>
          <w:szCs w:val="24"/>
        </w:rPr>
      </w:pPr>
      <w:bookmarkStart w:id="6" w:name="_Hlk1746735"/>
      <w:r w:rsidRPr="005D177D">
        <w:rPr>
          <w:rFonts w:cstheme="minorHAnsi"/>
          <w:sz w:val="24"/>
          <w:szCs w:val="24"/>
        </w:rPr>
        <w:t xml:space="preserve">Teaching Council (2010), </w:t>
      </w:r>
      <w:r w:rsidRPr="005D177D">
        <w:rPr>
          <w:rFonts w:cstheme="minorHAnsi"/>
          <w:i/>
          <w:sz w:val="24"/>
          <w:szCs w:val="24"/>
        </w:rPr>
        <w:t>Evaluation of Public Attitudes to the Teaching Profession</w:t>
      </w:r>
      <w:r w:rsidRPr="005D177D">
        <w:rPr>
          <w:rFonts w:cstheme="minorHAnsi"/>
          <w:sz w:val="24"/>
          <w:szCs w:val="24"/>
        </w:rPr>
        <w:t>, Maynooth: Teaching Council</w:t>
      </w:r>
    </w:p>
    <w:bookmarkEnd w:id="6"/>
    <w:p w14:paraId="0FF668E6" w14:textId="3D355D85" w:rsidR="00AD3E4A" w:rsidRPr="005D177D" w:rsidRDefault="00AD3E4A" w:rsidP="005D177D">
      <w:pPr>
        <w:pStyle w:val="Default"/>
        <w:spacing w:line="360" w:lineRule="auto"/>
        <w:jc w:val="both"/>
        <w:rPr>
          <w:rFonts w:asciiTheme="minorHAnsi" w:hAnsiTheme="minorHAnsi" w:cstheme="minorHAnsi"/>
          <w:bCs/>
          <w:color w:val="auto"/>
        </w:rPr>
      </w:pPr>
      <w:r w:rsidRPr="005D177D">
        <w:rPr>
          <w:rFonts w:asciiTheme="minorHAnsi" w:hAnsiTheme="minorHAnsi" w:cstheme="minorHAnsi"/>
          <w:bCs/>
          <w:color w:val="auto"/>
        </w:rPr>
        <w:t xml:space="preserve">TUI (2021), </w:t>
      </w:r>
      <w:r w:rsidRPr="005D177D">
        <w:rPr>
          <w:rFonts w:asciiTheme="minorHAnsi" w:hAnsiTheme="minorHAnsi" w:cstheme="minorHAnsi"/>
          <w:bCs/>
          <w:i/>
          <w:iCs/>
          <w:color w:val="auto"/>
        </w:rPr>
        <w:t>Response to the invitation of the Joint Oireachtas Committee on Education, Further and Higher Education, Research, Innovation and Science to make a submission as part of the Committee’s examination of the topic “School Bullying and the Impact on Mental Health”</w:t>
      </w:r>
      <w:r w:rsidRPr="005D177D">
        <w:rPr>
          <w:rFonts w:asciiTheme="minorHAnsi" w:hAnsiTheme="minorHAnsi" w:cstheme="minorHAnsi"/>
          <w:bCs/>
          <w:color w:val="auto"/>
        </w:rPr>
        <w:t>, Dublin: Teachers’ Union of Ireland</w:t>
      </w:r>
    </w:p>
    <w:p w14:paraId="0C3C5601" w14:textId="77777777" w:rsidR="00726161" w:rsidRPr="005D177D" w:rsidRDefault="00726161" w:rsidP="005D177D">
      <w:pPr>
        <w:pStyle w:val="Default"/>
        <w:spacing w:line="360" w:lineRule="auto"/>
        <w:jc w:val="both"/>
        <w:rPr>
          <w:rFonts w:asciiTheme="minorHAnsi" w:eastAsia="Times New Roman" w:hAnsiTheme="minorHAnsi" w:cstheme="minorHAnsi"/>
          <w:color w:val="auto"/>
          <w:lang w:eastAsia="en-IE"/>
        </w:rPr>
      </w:pPr>
      <w:r w:rsidRPr="005D177D">
        <w:rPr>
          <w:rFonts w:asciiTheme="minorHAnsi" w:hAnsiTheme="minorHAnsi" w:cstheme="minorHAnsi"/>
          <w:color w:val="auto"/>
        </w:rPr>
        <w:t xml:space="preserve">UNICEF (2020), </w:t>
      </w:r>
      <w:r w:rsidRPr="005D177D">
        <w:rPr>
          <w:rFonts w:asciiTheme="minorHAnsi" w:hAnsiTheme="minorHAnsi" w:cstheme="minorHAnsi"/>
          <w:i/>
          <w:iCs/>
          <w:color w:val="auto"/>
        </w:rPr>
        <w:t>Building the Future for Children</w:t>
      </w:r>
      <w:r w:rsidRPr="005D177D">
        <w:rPr>
          <w:rFonts w:asciiTheme="minorHAnsi" w:hAnsiTheme="minorHAnsi" w:cstheme="minorHAnsi"/>
          <w:color w:val="auto"/>
        </w:rPr>
        <w:t>, New York: UNICEF</w:t>
      </w:r>
    </w:p>
    <w:p w14:paraId="5A52C1A8" w14:textId="77777777" w:rsidR="00DF3151" w:rsidRPr="005D177D" w:rsidRDefault="00DF3151" w:rsidP="005D177D">
      <w:pPr>
        <w:spacing w:line="360" w:lineRule="auto"/>
        <w:jc w:val="both"/>
        <w:rPr>
          <w:rFonts w:cstheme="minorHAnsi"/>
          <w:sz w:val="24"/>
          <w:szCs w:val="24"/>
        </w:rPr>
      </w:pPr>
      <w:r w:rsidRPr="005D177D">
        <w:rPr>
          <w:rFonts w:cstheme="minorHAnsi"/>
          <w:sz w:val="24"/>
          <w:szCs w:val="24"/>
        </w:rPr>
        <w:t xml:space="preserve">United Nations Development Programme (2018), </w:t>
      </w:r>
      <w:r w:rsidRPr="005D177D">
        <w:rPr>
          <w:rFonts w:cstheme="minorHAnsi"/>
          <w:i/>
          <w:sz w:val="24"/>
          <w:szCs w:val="24"/>
        </w:rPr>
        <w:t>Human Development Indices and Indicators: 2018 statistical update</w:t>
      </w:r>
      <w:r w:rsidRPr="005D177D">
        <w:rPr>
          <w:rFonts w:cstheme="minorHAnsi"/>
          <w:sz w:val="24"/>
          <w:szCs w:val="24"/>
        </w:rPr>
        <w:t>, New York: United Nations</w:t>
      </w:r>
    </w:p>
    <w:p w14:paraId="239D428B" w14:textId="4B1F78CA" w:rsidR="00DF3151" w:rsidRPr="005D177D" w:rsidRDefault="00A86D58" w:rsidP="005D177D">
      <w:pPr>
        <w:spacing w:line="360" w:lineRule="auto"/>
        <w:jc w:val="both"/>
        <w:rPr>
          <w:rFonts w:cstheme="minorHAnsi"/>
          <w:sz w:val="24"/>
          <w:szCs w:val="24"/>
        </w:rPr>
      </w:pPr>
      <w:r w:rsidRPr="005D177D">
        <w:rPr>
          <w:rFonts w:cstheme="minorHAnsi"/>
          <w:sz w:val="24"/>
          <w:szCs w:val="24"/>
        </w:rPr>
        <w:t xml:space="preserve">UNDP (2019), </w:t>
      </w:r>
      <w:r w:rsidRPr="005D177D">
        <w:rPr>
          <w:rFonts w:cstheme="minorHAnsi"/>
          <w:i/>
          <w:sz w:val="24"/>
          <w:szCs w:val="24"/>
        </w:rPr>
        <w:t>Human Development Report 2019</w:t>
      </w:r>
      <w:r w:rsidRPr="005D177D">
        <w:rPr>
          <w:rFonts w:cstheme="minorHAnsi"/>
          <w:sz w:val="24"/>
          <w:szCs w:val="24"/>
        </w:rPr>
        <w:t>, New York: United Nations Development Programme</w:t>
      </w:r>
    </w:p>
    <w:sectPr w:rsidR="00DF3151" w:rsidRPr="005D17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AE55" w14:textId="77777777" w:rsidR="00044BC6" w:rsidRDefault="00044BC6" w:rsidP="001E5DAD">
      <w:pPr>
        <w:spacing w:after="0" w:line="240" w:lineRule="auto"/>
      </w:pPr>
      <w:r>
        <w:separator/>
      </w:r>
    </w:p>
  </w:endnote>
  <w:endnote w:type="continuationSeparator" w:id="0">
    <w:p w14:paraId="698057F0" w14:textId="77777777" w:rsidR="00044BC6" w:rsidRDefault="00044BC6"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46612"/>
      <w:docPartObj>
        <w:docPartGallery w:val="Page Numbers (Bottom of Page)"/>
        <w:docPartUnique/>
      </w:docPartObj>
    </w:sdtPr>
    <w:sdtEndPr>
      <w:rPr>
        <w:noProof/>
      </w:rPr>
    </w:sdtEndPr>
    <w:sdtContent>
      <w:p w14:paraId="2F698548" w14:textId="77777777"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14:paraId="7E2AD526" w14:textId="77777777"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E1A6" w14:textId="77777777" w:rsidR="00044BC6" w:rsidRDefault="00044BC6" w:rsidP="001E5DAD">
      <w:pPr>
        <w:spacing w:after="0" w:line="240" w:lineRule="auto"/>
      </w:pPr>
      <w:r>
        <w:separator/>
      </w:r>
    </w:p>
  </w:footnote>
  <w:footnote w:type="continuationSeparator" w:id="0">
    <w:p w14:paraId="158BC6AC" w14:textId="77777777" w:rsidR="00044BC6" w:rsidRDefault="00044BC6"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331FD8"/>
    <w:multiLevelType w:val="hybridMultilevel"/>
    <w:tmpl w:val="99528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E34474"/>
    <w:multiLevelType w:val="hybridMultilevel"/>
    <w:tmpl w:val="8D04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B839C6"/>
    <w:multiLevelType w:val="hybridMultilevel"/>
    <w:tmpl w:val="5AE21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333F42"/>
    <w:multiLevelType w:val="hybridMultilevel"/>
    <w:tmpl w:val="F8E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880DEF"/>
    <w:multiLevelType w:val="hybridMultilevel"/>
    <w:tmpl w:val="7B40C69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CC57BC"/>
    <w:multiLevelType w:val="hybridMultilevel"/>
    <w:tmpl w:val="5A12FA4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331080"/>
    <w:multiLevelType w:val="hybridMultilevel"/>
    <w:tmpl w:val="611AA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8B51FD"/>
    <w:multiLevelType w:val="hybridMultilevel"/>
    <w:tmpl w:val="45345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335B7D"/>
    <w:multiLevelType w:val="hybridMultilevel"/>
    <w:tmpl w:val="2266F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E53C6C"/>
    <w:multiLevelType w:val="hybridMultilevel"/>
    <w:tmpl w:val="8BD0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C435E5"/>
    <w:multiLevelType w:val="hybridMultilevel"/>
    <w:tmpl w:val="8EFA9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DD948BB"/>
    <w:multiLevelType w:val="hybridMultilevel"/>
    <w:tmpl w:val="BD9ED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6"/>
  </w:num>
  <w:num w:numId="4">
    <w:abstractNumId w:val="36"/>
  </w:num>
  <w:num w:numId="5">
    <w:abstractNumId w:val="32"/>
  </w:num>
  <w:num w:numId="6">
    <w:abstractNumId w:val="3"/>
  </w:num>
  <w:num w:numId="7">
    <w:abstractNumId w:val="14"/>
  </w:num>
  <w:num w:numId="8">
    <w:abstractNumId w:val="30"/>
  </w:num>
  <w:num w:numId="9">
    <w:abstractNumId w:val="18"/>
  </w:num>
  <w:num w:numId="10">
    <w:abstractNumId w:val="4"/>
  </w:num>
  <w:num w:numId="11">
    <w:abstractNumId w:val="9"/>
  </w:num>
  <w:num w:numId="12">
    <w:abstractNumId w:val="31"/>
  </w:num>
  <w:num w:numId="13">
    <w:abstractNumId w:val="1"/>
  </w:num>
  <w:num w:numId="14">
    <w:abstractNumId w:val="33"/>
  </w:num>
  <w:num w:numId="15">
    <w:abstractNumId w:val="2"/>
  </w:num>
  <w:num w:numId="16">
    <w:abstractNumId w:val="0"/>
  </w:num>
  <w:num w:numId="17">
    <w:abstractNumId w:val="13"/>
  </w:num>
  <w:num w:numId="18">
    <w:abstractNumId w:val="6"/>
  </w:num>
  <w:num w:numId="19">
    <w:abstractNumId w:val="39"/>
  </w:num>
  <w:num w:numId="20">
    <w:abstractNumId w:val="17"/>
  </w:num>
  <w:num w:numId="21">
    <w:abstractNumId w:val="10"/>
  </w:num>
  <w:num w:numId="22">
    <w:abstractNumId w:val="20"/>
  </w:num>
  <w:num w:numId="23">
    <w:abstractNumId w:val="28"/>
  </w:num>
  <w:num w:numId="24">
    <w:abstractNumId w:val="27"/>
  </w:num>
  <w:num w:numId="25">
    <w:abstractNumId w:val="34"/>
  </w:num>
  <w:num w:numId="26">
    <w:abstractNumId w:val="21"/>
  </w:num>
  <w:num w:numId="27">
    <w:abstractNumId w:val="22"/>
  </w:num>
  <w:num w:numId="28">
    <w:abstractNumId w:val="26"/>
  </w:num>
  <w:num w:numId="29">
    <w:abstractNumId w:val="35"/>
  </w:num>
  <w:num w:numId="30">
    <w:abstractNumId w:val="23"/>
  </w:num>
  <w:num w:numId="31">
    <w:abstractNumId w:val="38"/>
  </w:num>
  <w:num w:numId="32">
    <w:abstractNumId w:val="37"/>
  </w:num>
  <w:num w:numId="33">
    <w:abstractNumId w:val="19"/>
  </w:num>
  <w:num w:numId="34">
    <w:abstractNumId w:val="12"/>
  </w:num>
  <w:num w:numId="35">
    <w:abstractNumId w:val="24"/>
  </w:num>
  <w:num w:numId="36">
    <w:abstractNumId w:val="11"/>
  </w:num>
  <w:num w:numId="37">
    <w:abstractNumId w:val="40"/>
  </w:num>
  <w:num w:numId="38">
    <w:abstractNumId w:val="29"/>
  </w:num>
  <w:num w:numId="39">
    <w:abstractNumId w:val="7"/>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29AA"/>
    <w:rsid w:val="00012004"/>
    <w:rsid w:val="00020DB4"/>
    <w:rsid w:val="00021C7B"/>
    <w:rsid w:val="0002703A"/>
    <w:rsid w:val="00030807"/>
    <w:rsid w:val="000373BB"/>
    <w:rsid w:val="00037410"/>
    <w:rsid w:val="00044BC6"/>
    <w:rsid w:val="00047681"/>
    <w:rsid w:val="000478ED"/>
    <w:rsid w:val="00056261"/>
    <w:rsid w:val="00061478"/>
    <w:rsid w:val="00061728"/>
    <w:rsid w:val="000737B9"/>
    <w:rsid w:val="000747EB"/>
    <w:rsid w:val="000761CB"/>
    <w:rsid w:val="0007629A"/>
    <w:rsid w:val="000814FF"/>
    <w:rsid w:val="00087033"/>
    <w:rsid w:val="00091563"/>
    <w:rsid w:val="0009306C"/>
    <w:rsid w:val="000B6848"/>
    <w:rsid w:val="000B6D1B"/>
    <w:rsid w:val="000B70CE"/>
    <w:rsid w:val="000C09F6"/>
    <w:rsid w:val="000C2063"/>
    <w:rsid w:val="000C4690"/>
    <w:rsid w:val="000E218D"/>
    <w:rsid w:val="000E22A7"/>
    <w:rsid w:val="000E49FC"/>
    <w:rsid w:val="000E4F4D"/>
    <w:rsid w:val="000F61E9"/>
    <w:rsid w:val="001036F9"/>
    <w:rsid w:val="00103BE3"/>
    <w:rsid w:val="0010428C"/>
    <w:rsid w:val="00104EEA"/>
    <w:rsid w:val="00114E08"/>
    <w:rsid w:val="00123F17"/>
    <w:rsid w:val="001267B0"/>
    <w:rsid w:val="00130A2C"/>
    <w:rsid w:val="001373E0"/>
    <w:rsid w:val="00151694"/>
    <w:rsid w:val="001542F7"/>
    <w:rsid w:val="0016203D"/>
    <w:rsid w:val="001669AD"/>
    <w:rsid w:val="001674FA"/>
    <w:rsid w:val="001676B4"/>
    <w:rsid w:val="001766F9"/>
    <w:rsid w:val="001843B1"/>
    <w:rsid w:val="0018717F"/>
    <w:rsid w:val="001903B6"/>
    <w:rsid w:val="0019362F"/>
    <w:rsid w:val="00194340"/>
    <w:rsid w:val="00196E79"/>
    <w:rsid w:val="00197292"/>
    <w:rsid w:val="001A0ED8"/>
    <w:rsid w:val="001A4CC9"/>
    <w:rsid w:val="001A5441"/>
    <w:rsid w:val="001B6F24"/>
    <w:rsid w:val="001D18D6"/>
    <w:rsid w:val="001D412D"/>
    <w:rsid w:val="001D4955"/>
    <w:rsid w:val="001E5DAD"/>
    <w:rsid w:val="001F05DA"/>
    <w:rsid w:val="001F3BFD"/>
    <w:rsid w:val="0020709E"/>
    <w:rsid w:val="00207614"/>
    <w:rsid w:val="00211C0D"/>
    <w:rsid w:val="0021436E"/>
    <w:rsid w:val="002203AD"/>
    <w:rsid w:val="00224E1D"/>
    <w:rsid w:val="0023272C"/>
    <w:rsid w:val="002365DE"/>
    <w:rsid w:val="00237348"/>
    <w:rsid w:val="002374A4"/>
    <w:rsid w:val="00237706"/>
    <w:rsid w:val="002428EB"/>
    <w:rsid w:val="00246EE2"/>
    <w:rsid w:val="00262A94"/>
    <w:rsid w:val="00262C9A"/>
    <w:rsid w:val="00282CA3"/>
    <w:rsid w:val="002A4917"/>
    <w:rsid w:val="002A569F"/>
    <w:rsid w:val="002A70E5"/>
    <w:rsid w:val="002B258C"/>
    <w:rsid w:val="002B3562"/>
    <w:rsid w:val="002B51BF"/>
    <w:rsid w:val="002C51C8"/>
    <w:rsid w:val="002D649B"/>
    <w:rsid w:val="002D6B85"/>
    <w:rsid w:val="002E13B8"/>
    <w:rsid w:val="002E553B"/>
    <w:rsid w:val="002F03FE"/>
    <w:rsid w:val="002F2AD1"/>
    <w:rsid w:val="002F5110"/>
    <w:rsid w:val="002F6B90"/>
    <w:rsid w:val="003076FE"/>
    <w:rsid w:val="003103A8"/>
    <w:rsid w:val="00322891"/>
    <w:rsid w:val="003348F4"/>
    <w:rsid w:val="003409C9"/>
    <w:rsid w:val="00342095"/>
    <w:rsid w:val="003500DD"/>
    <w:rsid w:val="003505F9"/>
    <w:rsid w:val="00364612"/>
    <w:rsid w:val="00372CB1"/>
    <w:rsid w:val="00374713"/>
    <w:rsid w:val="00381BD5"/>
    <w:rsid w:val="00383317"/>
    <w:rsid w:val="00383C04"/>
    <w:rsid w:val="003959E2"/>
    <w:rsid w:val="003A1DE4"/>
    <w:rsid w:val="003B07B6"/>
    <w:rsid w:val="003B128D"/>
    <w:rsid w:val="003B60F2"/>
    <w:rsid w:val="003C18DB"/>
    <w:rsid w:val="003C3DC0"/>
    <w:rsid w:val="003D0495"/>
    <w:rsid w:val="003D05BB"/>
    <w:rsid w:val="003D29AE"/>
    <w:rsid w:val="003D4A25"/>
    <w:rsid w:val="003D615F"/>
    <w:rsid w:val="003D79EF"/>
    <w:rsid w:val="003E48CA"/>
    <w:rsid w:val="003E7EED"/>
    <w:rsid w:val="003F14EB"/>
    <w:rsid w:val="003F380D"/>
    <w:rsid w:val="00401B9F"/>
    <w:rsid w:val="00406327"/>
    <w:rsid w:val="00406C64"/>
    <w:rsid w:val="0041104C"/>
    <w:rsid w:val="00413BDF"/>
    <w:rsid w:val="00417290"/>
    <w:rsid w:val="0042135E"/>
    <w:rsid w:val="00421387"/>
    <w:rsid w:val="00433CE8"/>
    <w:rsid w:val="004341CF"/>
    <w:rsid w:val="0043434D"/>
    <w:rsid w:val="00436892"/>
    <w:rsid w:val="0044056A"/>
    <w:rsid w:val="00441438"/>
    <w:rsid w:val="00444AE4"/>
    <w:rsid w:val="00472ABE"/>
    <w:rsid w:val="004849FF"/>
    <w:rsid w:val="00485D6A"/>
    <w:rsid w:val="00487B33"/>
    <w:rsid w:val="00492A36"/>
    <w:rsid w:val="004965AF"/>
    <w:rsid w:val="00496F45"/>
    <w:rsid w:val="004A2A19"/>
    <w:rsid w:val="004B21D7"/>
    <w:rsid w:val="004B3052"/>
    <w:rsid w:val="004F10DA"/>
    <w:rsid w:val="004F4BD2"/>
    <w:rsid w:val="005055F6"/>
    <w:rsid w:val="00507252"/>
    <w:rsid w:val="005104D2"/>
    <w:rsid w:val="005132D7"/>
    <w:rsid w:val="005134F0"/>
    <w:rsid w:val="005160BD"/>
    <w:rsid w:val="005174F7"/>
    <w:rsid w:val="00522790"/>
    <w:rsid w:val="00540E21"/>
    <w:rsid w:val="00544C1D"/>
    <w:rsid w:val="00547022"/>
    <w:rsid w:val="0055001B"/>
    <w:rsid w:val="00551508"/>
    <w:rsid w:val="00554298"/>
    <w:rsid w:val="005663E7"/>
    <w:rsid w:val="00572042"/>
    <w:rsid w:val="005752DF"/>
    <w:rsid w:val="00577038"/>
    <w:rsid w:val="00590DC6"/>
    <w:rsid w:val="00593319"/>
    <w:rsid w:val="00596E64"/>
    <w:rsid w:val="0059735C"/>
    <w:rsid w:val="005A1AA3"/>
    <w:rsid w:val="005A4FDC"/>
    <w:rsid w:val="005A5019"/>
    <w:rsid w:val="005B289F"/>
    <w:rsid w:val="005B6394"/>
    <w:rsid w:val="005D177D"/>
    <w:rsid w:val="005D6C86"/>
    <w:rsid w:val="005D7EF3"/>
    <w:rsid w:val="005E23A3"/>
    <w:rsid w:val="005E3702"/>
    <w:rsid w:val="00614B81"/>
    <w:rsid w:val="0061555D"/>
    <w:rsid w:val="00627F22"/>
    <w:rsid w:val="006306BB"/>
    <w:rsid w:val="00632D41"/>
    <w:rsid w:val="006413BC"/>
    <w:rsid w:val="006475F0"/>
    <w:rsid w:val="00662449"/>
    <w:rsid w:val="006637D1"/>
    <w:rsid w:val="00666E2F"/>
    <w:rsid w:val="00671C18"/>
    <w:rsid w:val="006754E4"/>
    <w:rsid w:val="00680AFE"/>
    <w:rsid w:val="00693265"/>
    <w:rsid w:val="00693A05"/>
    <w:rsid w:val="00693C7E"/>
    <w:rsid w:val="00695428"/>
    <w:rsid w:val="006956F5"/>
    <w:rsid w:val="00696401"/>
    <w:rsid w:val="0069772B"/>
    <w:rsid w:val="006A385C"/>
    <w:rsid w:val="006B767C"/>
    <w:rsid w:val="006C2012"/>
    <w:rsid w:val="006C3BF5"/>
    <w:rsid w:val="006D2B83"/>
    <w:rsid w:val="006D5DE5"/>
    <w:rsid w:val="006E0AE7"/>
    <w:rsid w:val="006E4C85"/>
    <w:rsid w:val="006F0818"/>
    <w:rsid w:val="006F2752"/>
    <w:rsid w:val="006F5036"/>
    <w:rsid w:val="006F5DF0"/>
    <w:rsid w:val="0070085E"/>
    <w:rsid w:val="007024A5"/>
    <w:rsid w:val="00703FF1"/>
    <w:rsid w:val="0071123F"/>
    <w:rsid w:val="00714E32"/>
    <w:rsid w:val="00726161"/>
    <w:rsid w:val="00740AEB"/>
    <w:rsid w:val="00742439"/>
    <w:rsid w:val="00752E1A"/>
    <w:rsid w:val="00752F55"/>
    <w:rsid w:val="007725A4"/>
    <w:rsid w:val="00774CF1"/>
    <w:rsid w:val="00775B69"/>
    <w:rsid w:val="007941B9"/>
    <w:rsid w:val="007950E3"/>
    <w:rsid w:val="007972DC"/>
    <w:rsid w:val="007A01F7"/>
    <w:rsid w:val="007A6501"/>
    <w:rsid w:val="007A6BC3"/>
    <w:rsid w:val="007B3ECA"/>
    <w:rsid w:val="007B42FE"/>
    <w:rsid w:val="007B4766"/>
    <w:rsid w:val="007B4A4C"/>
    <w:rsid w:val="007C6EA7"/>
    <w:rsid w:val="007D59D1"/>
    <w:rsid w:val="007D7C35"/>
    <w:rsid w:val="007D7C46"/>
    <w:rsid w:val="007D7D5B"/>
    <w:rsid w:val="007E025D"/>
    <w:rsid w:val="007E2C0C"/>
    <w:rsid w:val="007E46FA"/>
    <w:rsid w:val="007E5A75"/>
    <w:rsid w:val="007E5BC8"/>
    <w:rsid w:val="007E6BF7"/>
    <w:rsid w:val="007F2A55"/>
    <w:rsid w:val="008260D5"/>
    <w:rsid w:val="00836D4D"/>
    <w:rsid w:val="00844B02"/>
    <w:rsid w:val="008457C5"/>
    <w:rsid w:val="00846E46"/>
    <w:rsid w:val="00852D95"/>
    <w:rsid w:val="008549CA"/>
    <w:rsid w:val="008555E9"/>
    <w:rsid w:val="00855607"/>
    <w:rsid w:val="00861287"/>
    <w:rsid w:val="00866555"/>
    <w:rsid w:val="00870E5E"/>
    <w:rsid w:val="00881BF0"/>
    <w:rsid w:val="0088751A"/>
    <w:rsid w:val="0089023E"/>
    <w:rsid w:val="00894A8B"/>
    <w:rsid w:val="008A29B6"/>
    <w:rsid w:val="008A2E39"/>
    <w:rsid w:val="008B6210"/>
    <w:rsid w:val="008C1AAB"/>
    <w:rsid w:val="008C7075"/>
    <w:rsid w:val="008D3DE9"/>
    <w:rsid w:val="008E17AE"/>
    <w:rsid w:val="008E31BF"/>
    <w:rsid w:val="008F0276"/>
    <w:rsid w:val="008F5D4B"/>
    <w:rsid w:val="009072E2"/>
    <w:rsid w:val="00911BE1"/>
    <w:rsid w:val="00914004"/>
    <w:rsid w:val="009204E0"/>
    <w:rsid w:val="009244B3"/>
    <w:rsid w:val="00933273"/>
    <w:rsid w:val="00951F5B"/>
    <w:rsid w:val="00960A99"/>
    <w:rsid w:val="00964FCE"/>
    <w:rsid w:val="00970670"/>
    <w:rsid w:val="009833B2"/>
    <w:rsid w:val="00990B58"/>
    <w:rsid w:val="00996DAF"/>
    <w:rsid w:val="00997DB0"/>
    <w:rsid w:val="009A07CB"/>
    <w:rsid w:val="009A44B5"/>
    <w:rsid w:val="009A454B"/>
    <w:rsid w:val="009B51AA"/>
    <w:rsid w:val="009B5314"/>
    <w:rsid w:val="009D40FE"/>
    <w:rsid w:val="009D77E5"/>
    <w:rsid w:val="009E3863"/>
    <w:rsid w:val="00A02D26"/>
    <w:rsid w:val="00A12494"/>
    <w:rsid w:val="00A124EC"/>
    <w:rsid w:val="00A14C57"/>
    <w:rsid w:val="00A21D2A"/>
    <w:rsid w:val="00A23190"/>
    <w:rsid w:val="00A2542A"/>
    <w:rsid w:val="00A406EF"/>
    <w:rsid w:val="00A427DA"/>
    <w:rsid w:val="00A43DEB"/>
    <w:rsid w:val="00A45A22"/>
    <w:rsid w:val="00A560A4"/>
    <w:rsid w:val="00A60169"/>
    <w:rsid w:val="00A6616E"/>
    <w:rsid w:val="00A67B64"/>
    <w:rsid w:val="00A67C0D"/>
    <w:rsid w:val="00A81D53"/>
    <w:rsid w:val="00A86514"/>
    <w:rsid w:val="00A86D58"/>
    <w:rsid w:val="00A87EC0"/>
    <w:rsid w:val="00A93302"/>
    <w:rsid w:val="00AB1F22"/>
    <w:rsid w:val="00AB30BB"/>
    <w:rsid w:val="00AC068A"/>
    <w:rsid w:val="00AC1AF9"/>
    <w:rsid w:val="00AC44B7"/>
    <w:rsid w:val="00AC49BB"/>
    <w:rsid w:val="00AC6DA7"/>
    <w:rsid w:val="00AC6FC2"/>
    <w:rsid w:val="00AD3E4A"/>
    <w:rsid w:val="00AD7A53"/>
    <w:rsid w:val="00AE191F"/>
    <w:rsid w:val="00AF2DE2"/>
    <w:rsid w:val="00AF31A1"/>
    <w:rsid w:val="00AF4C85"/>
    <w:rsid w:val="00AF632C"/>
    <w:rsid w:val="00B0086B"/>
    <w:rsid w:val="00B00A9A"/>
    <w:rsid w:val="00B041E2"/>
    <w:rsid w:val="00B24201"/>
    <w:rsid w:val="00B275A3"/>
    <w:rsid w:val="00B31A73"/>
    <w:rsid w:val="00B40FA7"/>
    <w:rsid w:val="00B42153"/>
    <w:rsid w:val="00B45E7A"/>
    <w:rsid w:val="00B46FE1"/>
    <w:rsid w:val="00B47744"/>
    <w:rsid w:val="00B54CA7"/>
    <w:rsid w:val="00B5761B"/>
    <w:rsid w:val="00B604AB"/>
    <w:rsid w:val="00B62CE4"/>
    <w:rsid w:val="00B71361"/>
    <w:rsid w:val="00B72F20"/>
    <w:rsid w:val="00B77CFB"/>
    <w:rsid w:val="00B80181"/>
    <w:rsid w:val="00B805A7"/>
    <w:rsid w:val="00B832AD"/>
    <w:rsid w:val="00B965F9"/>
    <w:rsid w:val="00B97F9A"/>
    <w:rsid w:val="00BA1AAC"/>
    <w:rsid w:val="00BB24CC"/>
    <w:rsid w:val="00BB5C53"/>
    <w:rsid w:val="00BC397C"/>
    <w:rsid w:val="00BD0FAF"/>
    <w:rsid w:val="00BD16B5"/>
    <w:rsid w:val="00BD3F30"/>
    <w:rsid w:val="00BE047F"/>
    <w:rsid w:val="00BE44E7"/>
    <w:rsid w:val="00BE5097"/>
    <w:rsid w:val="00BE5ADF"/>
    <w:rsid w:val="00BF012F"/>
    <w:rsid w:val="00BF7DBD"/>
    <w:rsid w:val="00C04963"/>
    <w:rsid w:val="00C15932"/>
    <w:rsid w:val="00C2074B"/>
    <w:rsid w:val="00C20F3D"/>
    <w:rsid w:val="00C31378"/>
    <w:rsid w:val="00C4003F"/>
    <w:rsid w:val="00C43B5E"/>
    <w:rsid w:val="00C5011B"/>
    <w:rsid w:val="00C5559F"/>
    <w:rsid w:val="00C570F1"/>
    <w:rsid w:val="00C62F46"/>
    <w:rsid w:val="00C75B3A"/>
    <w:rsid w:val="00C82175"/>
    <w:rsid w:val="00C82359"/>
    <w:rsid w:val="00C866CB"/>
    <w:rsid w:val="00C8791A"/>
    <w:rsid w:val="00CA64F7"/>
    <w:rsid w:val="00CB0E55"/>
    <w:rsid w:val="00CB1F34"/>
    <w:rsid w:val="00CB3A74"/>
    <w:rsid w:val="00CC2D5E"/>
    <w:rsid w:val="00CC2E33"/>
    <w:rsid w:val="00CE789D"/>
    <w:rsid w:val="00CF09DF"/>
    <w:rsid w:val="00D042DB"/>
    <w:rsid w:val="00D06190"/>
    <w:rsid w:val="00D10301"/>
    <w:rsid w:val="00D117DF"/>
    <w:rsid w:val="00D223A8"/>
    <w:rsid w:val="00D22D32"/>
    <w:rsid w:val="00D30809"/>
    <w:rsid w:val="00D31359"/>
    <w:rsid w:val="00D317E4"/>
    <w:rsid w:val="00D42450"/>
    <w:rsid w:val="00D44FD2"/>
    <w:rsid w:val="00D5057C"/>
    <w:rsid w:val="00D5471B"/>
    <w:rsid w:val="00D54949"/>
    <w:rsid w:val="00D56152"/>
    <w:rsid w:val="00D61DEB"/>
    <w:rsid w:val="00D67347"/>
    <w:rsid w:val="00D72892"/>
    <w:rsid w:val="00D750D5"/>
    <w:rsid w:val="00D82B80"/>
    <w:rsid w:val="00D8462B"/>
    <w:rsid w:val="00D85EDF"/>
    <w:rsid w:val="00D943C0"/>
    <w:rsid w:val="00D972D5"/>
    <w:rsid w:val="00DA62B1"/>
    <w:rsid w:val="00DB42E6"/>
    <w:rsid w:val="00DB478A"/>
    <w:rsid w:val="00DB78F2"/>
    <w:rsid w:val="00DC52A6"/>
    <w:rsid w:val="00DD0EF8"/>
    <w:rsid w:val="00DD6132"/>
    <w:rsid w:val="00DE4CD9"/>
    <w:rsid w:val="00DF3151"/>
    <w:rsid w:val="00DF3B6B"/>
    <w:rsid w:val="00E01C4F"/>
    <w:rsid w:val="00E1372E"/>
    <w:rsid w:val="00E144AB"/>
    <w:rsid w:val="00E15307"/>
    <w:rsid w:val="00E270DA"/>
    <w:rsid w:val="00E332E7"/>
    <w:rsid w:val="00E33EBD"/>
    <w:rsid w:val="00E4177A"/>
    <w:rsid w:val="00E41D6D"/>
    <w:rsid w:val="00E450EB"/>
    <w:rsid w:val="00E45461"/>
    <w:rsid w:val="00E46AC7"/>
    <w:rsid w:val="00E46CA0"/>
    <w:rsid w:val="00E512CE"/>
    <w:rsid w:val="00E63D39"/>
    <w:rsid w:val="00E70C0A"/>
    <w:rsid w:val="00E73014"/>
    <w:rsid w:val="00E7790C"/>
    <w:rsid w:val="00E844CB"/>
    <w:rsid w:val="00E8660C"/>
    <w:rsid w:val="00E90F0F"/>
    <w:rsid w:val="00EA0D26"/>
    <w:rsid w:val="00EB31F6"/>
    <w:rsid w:val="00EB3388"/>
    <w:rsid w:val="00EB75A4"/>
    <w:rsid w:val="00EC3D1B"/>
    <w:rsid w:val="00EC4F8A"/>
    <w:rsid w:val="00EC5BF6"/>
    <w:rsid w:val="00ED75AF"/>
    <w:rsid w:val="00EE05A1"/>
    <w:rsid w:val="00EE5F15"/>
    <w:rsid w:val="00EF1D64"/>
    <w:rsid w:val="00F00375"/>
    <w:rsid w:val="00F0103A"/>
    <w:rsid w:val="00F0172A"/>
    <w:rsid w:val="00F0670C"/>
    <w:rsid w:val="00F06D14"/>
    <w:rsid w:val="00F23667"/>
    <w:rsid w:val="00F2507B"/>
    <w:rsid w:val="00F4646A"/>
    <w:rsid w:val="00F54A8A"/>
    <w:rsid w:val="00F56CF9"/>
    <w:rsid w:val="00F63919"/>
    <w:rsid w:val="00F71F8F"/>
    <w:rsid w:val="00F737E2"/>
    <w:rsid w:val="00F749AF"/>
    <w:rsid w:val="00F801F4"/>
    <w:rsid w:val="00F8484A"/>
    <w:rsid w:val="00F95C41"/>
    <w:rsid w:val="00FB37BF"/>
    <w:rsid w:val="00FB5A84"/>
    <w:rsid w:val="00FC0292"/>
    <w:rsid w:val="00FC0AD0"/>
    <w:rsid w:val="00FC34CB"/>
    <w:rsid w:val="00FC5DA7"/>
    <w:rsid w:val="00FC6EF4"/>
    <w:rsid w:val="00FC73A7"/>
    <w:rsid w:val="00FC7805"/>
    <w:rsid w:val="00FD4291"/>
    <w:rsid w:val="00FE6A22"/>
    <w:rsid w:val="00FE7495"/>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C9F3"/>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A60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0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01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01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4F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2892"/>
    <w:pPr>
      <w:spacing w:after="0" w:line="240" w:lineRule="auto"/>
    </w:pPr>
    <w:rPr>
      <w:rFonts w:eastAsiaTheme="minorEastAsia" w:cs="Times New Roman"/>
      <w:sz w:val="20"/>
      <w:szCs w:val="20"/>
      <w:lang w:val="en-GB"/>
    </w:rPr>
  </w:style>
  <w:style w:type="character" w:customStyle="1" w:styleId="NoSpacingChar">
    <w:name w:val="No Spacing Char"/>
    <w:basedOn w:val="DefaultParagraphFont"/>
    <w:link w:val="NoSpacing"/>
    <w:uiPriority w:val="1"/>
    <w:locked/>
    <w:rsid w:val="00D72892"/>
    <w:rPr>
      <w:rFonts w:eastAsiaTheme="minorEastAsia" w:cs="Times New Roman"/>
      <w:sz w:val="20"/>
      <w:szCs w:val="20"/>
      <w:lang w:val="en-GB"/>
    </w:rPr>
  </w:style>
  <w:style w:type="character" w:customStyle="1" w:styleId="Heading2Char">
    <w:name w:val="Heading 2 Char"/>
    <w:basedOn w:val="DefaultParagraphFont"/>
    <w:link w:val="Heading2"/>
    <w:uiPriority w:val="9"/>
    <w:semiHidden/>
    <w:rsid w:val="00A60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01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01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016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448">
      <w:bodyDiv w:val="1"/>
      <w:marLeft w:val="0"/>
      <w:marRight w:val="0"/>
      <w:marTop w:val="0"/>
      <w:marBottom w:val="0"/>
      <w:divBdr>
        <w:top w:val="none" w:sz="0" w:space="0" w:color="auto"/>
        <w:left w:val="none" w:sz="0" w:space="0" w:color="auto"/>
        <w:bottom w:val="none" w:sz="0" w:space="0" w:color="auto"/>
        <w:right w:val="none" w:sz="0" w:space="0" w:color="auto"/>
      </w:divBdr>
      <w:divsChild>
        <w:div w:id="18436295">
          <w:marLeft w:val="0"/>
          <w:marRight w:val="0"/>
          <w:marTop w:val="0"/>
          <w:marBottom w:val="0"/>
          <w:divBdr>
            <w:top w:val="none" w:sz="0" w:space="0" w:color="auto"/>
            <w:left w:val="none" w:sz="0" w:space="0" w:color="auto"/>
            <w:bottom w:val="none" w:sz="0" w:space="0" w:color="auto"/>
            <w:right w:val="none" w:sz="0" w:space="0" w:color="auto"/>
          </w:divBdr>
          <w:divsChild>
            <w:div w:id="1863779632">
              <w:marLeft w:val="0"/>
              <w:marRight w:val="0"/>
              <w:marTop w:val="0"/>
              <w:marBottom w:val="0"/>
              <w:divBdr>
                <w:top w:val="none" w:sz="0" w:space="0" w:color="auto"/>
                <w:left w:val="none" w:sz="0" w:space="0" w:color="auto"/>
                <w:bottom w:val="none" w:sz="0" w:space="0" w:color="auto"/>
                <w:right w:val="none" w:sz="0" w:space="0" w:color="auto"/>
              </w:divBdr>
              <w:divsChild>
                <w:div w:id="1902129128">
                  <w:marLeft w:val="0"/>
                  <w:marRight w:val="0"/>
                  <w:marTop w:val="0"/>
                  <w:marBottom w:val="0"/>
                  <w:divBdr>
                    <w:top w:val="none" w:sz="0" w:space="0" w:color="auto"/>
                    <w:left w:val="none" w:sz="0" w:space="0" w:color="auto"/>
                    <w:bottom w:val="none" w:sz="0" w:space="0" w:color="auto"/>
                    <w:right w:val="none" w:sz="0" w:space="0" w:color="auto"/>
                  </w:divBdr>
                  <w:divsChild>
                    <w:div w:id="841823368">
                      <w:marLeft w:val="0"/>
                      <w:marRight w:val="0"/>
                      <w:marTop w:val="0"/>
                      <w:marBottom w:val="0"/>
                      <w:divBdr>
                        <w:top w:val="none" w:sz="0" w:space="0" w:color="auto"/>
                        <w:left w:val="none" w:sz="0" w:space="0" w:color="auto"/>
                        <w:bottom w:val="none" w:sz="0" w:space="0" w:color="auto"/>
                        <w:right w:val="none" w:sz="0" w:space="0" w:color="auto"/>
                      </w:divBdr>
                    </w:div>
                    <w:div w:id="776367621">
                      <w:marLeft w:val="0"/>
                      <w:marRight w:val="0"/>
                      <w:marTop w:val="0"/>
                      <w:marBottom w:val="0"/>
                      <w:divBdr>
                        <w:top w:val="none" w:sz="0" w:space="0" w:color="auto"/>
                        <w:left w:val="none" w:sz="0" w:space="0" w:color="auto"/>
                        <w:bottom w:val="none" w:sz="0" w:space="0" w:color="auto"/>
                        <w:right w:val="none" w:sz="0" w:space="0" w:color="auto"/>
                      </w:divBdr>
                      <w:divsChild>
                        <w:div w:id="1442215628">
                          <w:marLeft w:val="150"/>
                          <w:marRight w:val="210"/>
                          <w:marTop w:val="0"/>
                          <w:marBottom w:val="240"/>
                          <w:divBdr>
                            <w:top w:val="single" w:sz="6" w:space="3" w:color="89B84B"/>
                            <w:left w:val="single" w:sz="6" w:space="3" w:color="89B84B"/>
                            <w:bottom w:val="single" w:sz="6" w:space="3" w:color="89B84B"/>
                            <w:right w:val="single" w:sz="6" w:space="3" w:color="89B84B"/>
                          </w:divBdr>
                        </w:div>
                      </w:divsChild>
                    </w:div>
                  </w:divsChild>
                </w:div>
                <w:div w:id="1663318023">
                  <w:marLeft w:val="0"/>
                  <w:marRight w:val="0"/>
                  <w:marTop w:val="0"/>
                  <w:marBottom w:val="0"/>
                  <w:divBdr>
                    <w:top w:val="none" w:sz="0" w:space="0" w:color="auto"/>
                    <w:left w:val="none" w:sz="0" w:space="0" w:color="auto"/>
                    <w:bottom w:val="none" w:sz="0" w:space="0" w:color="auto"/>
                    <w:right w:val="none" w:sz="0" w:space="0" w:color="auto"/>
                  </w:divBdr>
                  <w:divsChild>
                    <w:div w:id="2137982908">
                      <w:marLeft w:val="0"/>
                      <w:marRight w:val="0"/>
                      <w:marTop w:val="0"/>
                      <w:marBottom w:val="0"/>
                      <w:divBdr>
                        <w:top w:val="none" w:sz="0" w:space="0" w:color="auto"/>
                        <w:left w:val="none" w:sz="0" w:space="0" w:color="auto"/>
                        <w:bottom w:val="none" w:sz="0" w:space="0" w:color="auto"/>
                        <w:right w:val="single" w:sz="6" w:space="0" w:color="FFFFFF"/>
                      </w:divBdr>
                    </w:div>
                    <w:div w:id="965695950">
                      <w:marLeft w:val="0"/>
                      <w:marRight w:val="0"/>
                      <w:marTop w:val="0"/>
                      <w:marBottom w:val="0"/>
                      <w:divBdr>
                        <w:top w:val="none" w:sz="0" w:space="0" w:color="auto"/>
                        <w:left w:val="none" w:sz="0" w:space="0" w:color="auto"/>
                        <w:bottom w:val="none" w:sz="0" w:space="0" w:color="auto"/>
                        <w:right w:val="none" w:sz="0" w:space="0" w:color="auto"/>
                      </w:divBdr>
                    </w:div>
                  </w:divsChild>
                </w:div>
                <w:div w:id="268195735">
                  <w:marLeft w:val="0"/>
                  <w:marRight w:val="0"/>
                  <w:marTop w:val="0"/>
                  <w:marBottom w:val="0"/>
                  <w:divBdr>
                    <w:top w:val="none" w:sz="0" w:space="0" w:color="auto"/>
                    <w:left w:val="none" w:sz="0" w:space="0" w:color="auto"/>
                    <w:bottom w:val="none" w:sz="0" w:space="0" w:color="auto"/>
                    <w:right w:val="none" w:sz="0" w:space="0" w:color="auto"/>
                  </w:divBdr>
                  <w:divsChild>
                    <w:div w:id="94375347">
                      <w:marLeft w:val="0"/>
                      <w:marRight w:val="0"/>
                      <w:marTop w:val="0"/>
                      <w:marBottom w:val="0"/>
                      <w:divBdr>
                        <w:top w:val="none" w:sz="0" w:space="0" w:color="auto"/>
                        <w:left w:val="none" w:sz="0" w:space="0" w:color="auto"/>
                        <w:bottom w:val="none" w:sz="0" w:space="0" w:color="auto"/>
                        <w:right w:val="single" w:sz="6" w:space="0" w:color="FFFFFF"/>
                      </w:divBdr>
                    </w:div>
                  </w:divsChild>
                </w:div>
                <w:div w:id="143620511">
                  <w:marLeft w:val="0"/>
                  <w:marRight w:val="0"/>
                  <w:marTop w:val="0"/>
                  <w:marBottom w:val="0"/>
                  <w:divBdr>
                    <w:top w:val="none" w:sz="0" w:space="0" w:color="auto"/>
                    <w:left w:val="none" w:sz="0" w:space="0" w:color="auto"/>
                    <w:bottom w:val="none" w:sz="0" w:space="0" w:color="auto"/>
                    <w:right w:val="none" w:sz="0" w:space="0" w:color="auto"/>
                  </w:divBdr>
                  <w:divsChild>
                    <w:div w:id="1894003933">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2687811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 w:id="19755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2021-05-06T17:18:00Z</cp:lastPrinted>
  <dcterms:created xsi:type="dcterms:W3CDTF">2021-05-12T11:53:00Z</dcterms:created>
  <dcterms:modified xsi:type="dcterms:W3CDTF">2021-05-12T11:53:00Z</dcterms:modified>
</cp:coreProperties>
</file>