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0927B" w14:textId="77777777" w:rsidR="00BD16B5" w:rsidRPr="00027F0A" w:rsidRDefault="00190EF9" w:rsidP="00027F0A">
      <w:pPr>
        <w:spacing w:after="0" w:line="360" w:lineRule="auto"/>
        <w:jc w:val="center"/>
        <w:rPr>
          <w:b/>
        </w:rPr>
      </w:pPr>
      <w:bookmarkStart w:id="0" w:name="_GoBack"/>
      <w:bookmarkEnd w:id="0"/>
      <w:r w:rsidRPr="00027F0A">
        <w:rPr>
          <w:noProof/>
          <w:lang w:eastAsia="en-IE"/>
        </w:rPr>
        <w:drawing>
          <wp:inline distT="0" distB="0" distL="0" distR="0" wp14:anchorId="1136886B" wp14:editId="741C288A">
            <wp:extent cx="1857375" cy="18846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656" cy="1936725"/>
                    </a:xfrm>
                    <a:prstGeom prst="rect">
                      <a:avLst/>
                    </a:prstGeom>
                  </pic:spPr>
                </pic:pic>
              </a:graphicData>
            </a:graphic>
          </wp:inline>
        </w:drawing>
      </w:r>
    </w:p>
    <w:p w14:paraId="375030BB" w14:textId="77777777" w:rsidR="00E70C0A" w:rsidRPr="00DE7DB5" w:rsidRDefault="00A12494" w:rsidP="004736C8">
      <w:pPr>
        <w:spacing w:after="0" w:line="360" w:lineRule="auto"/>
        <w:jc w:val="center"/>
        <w:rPr>
          <w:b/>
          <w:sz w:val="28"/>
          <w:szCs w:val="28"/>
        </w:rPr>
      </w:pPr>
      <w:r w:rsidRPr="00DE7DB5">
        <w:rPr>
          <w:b/>
          <w:sz w:val="28"/>
          <w:szCs w:val="28"/>
        </w:rPr>
        <w:t>Teachers’ Union of Ireland</w:t>
      </w:r>
    </w:p>
    <w:p w14:paraId="7ABFB964" w14:textId="738962E9" w:rsidR="00A12494" w:rsidRPr="00DE7DB5" w:rsidRDefault="00B01995" w:rsidP="004736C8">
      <w:pPr>
        <w:spacing w:after="0" w:line="360" w:lineRule="auto"/>
        <w:jc w:val="center"/>
        <w:rPr>
          <w:b/>
          <w:sz w:val="28"/>
          <w:szCs w:val="28"/>
        </w:rPr>
      </w:pPr>
      <w:r w:rsidRPr="00DE7DB5">
        <w:rPr>
          <w:b/>
          <w:sz w:val="28"/>
          <w:szCs w:val="28"/>
        </w:rPr>
        <w:t xml:space="preserve">Submission to </w:t>
      </w:r>
      <w:r w:rsidR="00DE2175">
        <w:rPr>
          <w:b/>
          <w:sz w:val="28"/>
          <w:szCs w:val="28"/>
        </w:rPr>
        <w:t>the Department of</w:t>
      </w:r>
      <w:r w:rsidRPr="00DE7DB5">
        <w:rPr>
          <w:b/>
          <w:sz w:val="28"/>
          <w:szCs w:val="28"/>
        </w:rPr>
        <w:t xml:space="preserve"> Education and Skills</w:t>
      </w:r>
      <w:r w:rsidR="0031492A" w:rsidRPr="00DE7DB5">
        <w:rPr>
          <w:b/>
          <w:sz w:val="28"/>
          <w:szCs w:val="28"/>
        </w:rPr>
        <w:t xml:space="preserve"> </w:t>
      </w:r>
      <w:r w:rsidRPr="00DE7DB5">
        <w:rPr>
          <w:b/>
          <w:sz w:val="28"/>
          <w:szCs w:val="28"/>
        </w:rPr>
        <w:t xml:space="preserve">regarding </w:t>
      </w:r>
      <w:r w:rsidR="00A21BD2" w:rsidRPr="00DE7DB5">
        <w:rPr>
          <w:rFonts w:eastAsia="Calibri" w:cs="Tahoma"/>
          <w:sz w:val="28"/>
          <w:szCs w:val="28"/>
        </w:rPr>
        <w:t>‘</w:t>
      </w:r>
      <w:bookmarkStart w:id="1" w:name="_Hlk519864571"/>
      <w:r w:rsidR="00BA3CEF" w:rsidRPr="00DE7DB5">
        <w:rPr>
          <w:rFonts w:eastAsia="Calibri" w:cs="Tahoma"/>
          <w:b/>
          <w:sz w:val="28"/>
          <w:szCs w:val="28"/>
        </w:rPr>
        <w:t xml:space="preserve">the </w:t>
      </w:r>
      <w:bookmarkEnd w:id="1"/>
      <w:r w:rsidR="00DE2175">
        <w:rPr>
          <w:rFonts w:eastAsia="Calibri" w:cs="Tahoma"/>
          <w:b/>
          <w:sz w:val="28"/>
          <w:szCs w:val="28"/>
        </w:rPr>
        <w:t>draft ESD action plan 2018-2020</w:t>
      </w:r>
      <w:r w:rsidR="00A21BD2" w:rsidRPr="00DE7DB5">
        <w:rPr>
          <w:rFonts w:eastAsia="Calibri" w:cs="Tahoma"/>
          <w:b/>
          <w:sz w:val="28"/>
          <w:szCs w:val="28"/>
        </w:rPr>
        <w:t>’</w:t>
      </w:r>
      <w:r w:rsidR="00A21BD2" w:rsidRPr="00DE7DB5">
        <w:rPr>
          <w:b/>
          <w:sz w:val="28"/>
          <w:szCs w:val="28"/>
        </w:rPr>
        <w:t xml:space="preserve"> </w:t>
      </w:r>
      <w:r w:rsidR="00A12494" w:rsidRPr="00DE7DB5">
        <w:rPr>
          <w:b/>
          <w:sz w:val="28"/>
          <w:szCs w:val="28"/>
        </w:rPr>
        <w:t>(</w:t>
      </w:r>
      <w:r w:rsidR="00DE2175">
        <w:rPr>
          <w:b/>
          <w:sz w:val="28"/>
          <w:szCs w:val="28"/>
        </w:rPr>
        <w:t>October</w:t>
      </w:r>
      <w:r w:rsidR="00A21BD2" w:rsidRPr="00DE7DB5">
        <w:rPr>
          <w:b/>
          <w:sz w:val="28"/>
          <w:szCs w:val="28"/>
        </w:rPr>
        <w:t xml:space="preserve"> 2018</w:t>
      </w:r>
      <w:r w:rsidR="00A12494" w:rsidRPr="00DE7DB5">
        <w:rPr>
          <w:b/>
          <w:sz w:val="28"/>
          <w:szCs w:val="28"/>
        </w:rPr>
        <w:t>)</w:t>
      </w:r>
    </w:p>
    <w:p w14:paraId="28383CC5" w14:textId="77777777" w:rsidR="007A5F18" w:rsidRPr="00DE7DB5" w:rsidRDefault="007A5F18" w:rsidP="00384E4F">
      <w:pPr>
        <w:spacing w:after="0" w:line="360" w:lineRule="auto"/>
        <w:jc w:val="both"/>
        <w:rPr>
          <w:b/>
          <w:sz w:val="28"/>
          <w:szCs w:val="28"/>
        </w:rPr>
      </w:pPr>
    </w:p>
    <w:p w14:paraId="6DFC8EA0" w14:textId="77777777" w:rsidR="00167086" w:rsidRPr="00A13BB2" w:rsidRDefault="00AC32F0" w:rsidP="00A13BB2">
      <w:pPr>
        <w:spacing w:after="0" w:line="360" w:lineRule="auto"/>
        <w:jc w:val="both"/>
        <w:rPr>
          <w:b/>
          <w:sz w:val="24"/>
          <w:szCs w:val="24"/>
          <w:u w:val="single"/>
        </w:rPr>
      </w:pPr>
      <w:r w:rsidRPr="00A13BB2">
        <w:rPr>
          <w:b/>
          <w:sz w:val="24"/>
          <w:szCs w:val="24"/>
          <w:u w:val="single"/>
        </w:rPr>
        <w:t>Introduction</w:t>
      </w:r>
    </w:p>
    <w:p w14:paraId="28E88767" w14:textId="6757CEDF" w:rsidR="00AC32F0" w:rsidRPr="00A13BB2" w:rsidRDefault="00CB06D8" w:rsidP="00A13BB2">
      <w:pPr>
        <w:spacing w:after="0" w:line="360" w:lineRule="auto"/>
        <w:jc w:val="both"/>
        <w:rPr>
          <w:rFonts w:eastAsiaTheme="majorEastAsia" w:cstheme="majorBidi"/>
          <w:b/>
          <w:bCs/>
          <w:sz w:val="24"/>
          <w:szCs w:val="24"/>
        </w:rPr>
      </w:pPr>
      <w:r w:rsidRPr="00A13BB2">
        <w:rPr>
          <w:rFonts w:eastAsiaTheme="majorEastAsia" w:cstheme="majorBidi"/>
          <w:bCs/>
          <w:sz w:val="24"/>
          <w:szCs w:val="24"/>
        </w:rPr>
        <w:t xml:space="preserve">The </w:t>
      </w:r>
      <w:r w:rsidR="00AC32F0" w:rsidRPr="00A13BB2">
        <w:rPr>
          <w:rFonts w:eastAsiaTheme="majorEastAsia" w:cstheme="majorBidi"/>
          <w:bCs/>
          <w:sz w:val="24"/>
          <w:szCs w:val="24"/>
        </w:rPr>
        <w:t>TUI repre</w:t>
      </w:r>
      <w:r w:rsidR="001C40D8" w:rsidRPr="00A13BB2">
        <w:rPr>
          <w:rFonts w:eastAsiaTheme="majorEastAsia" w:cstheme="majorBidi"/>
          <w:bCs/>
          <w:sz w:val="24"/>
          <w:szCs w:val="24"/>
        </w:rPr>
        <w:t>sents teachers and lecturers (17</w:t>
      </w:r>
      <w:r w:rsidR="00AC32F0" w:rsidRPr="00A13BB2">
        <w:rPr>
          <w:rFonts w:eastAsiaTheme="majorEastAsia" w:cstheme="majorBidi"/>
          <w:bCs/>
          <w:sz w:val="24"/>
          <w:szCs w:val="24"/>
        </w:rPr>
        <w:t xml:space="preserve">,000+) employed by Education and Training Boards (ETBs), voluntary secondary schools, Community and Comprehensive (C&amp;C) schools and the institutes of technology. </w:t>
      </w:r>
    </w:p>
    <w:p w14:paraId="160DDB91" w14:textId="77777777" w:rsidR="00231D02" w:rsidRPr="00A13BB2" w:rsidRDefault="00231D02" w:rsidP="00A13BB2">
      <w:pPr>
        <w:spacing w:after="0" w:line="360" w:lineRule="auto"/>
        <w:jc w:val="both"/>
        <w:rPr>
          <w:sz w:val="24"/>
          <w:szCs w:val="24"/>
        </w:rPr>
      </w:pPr>
    </w:p>
    <w:p w14:paraId="5DA34DBC" w14:textId="3AB68B56" w:rsidR="008516BA" w:rsidRPr="00A13BB2" w:rsidRDefault="004F1A3F" w:rsidP="00A13BB2">
      <w:pPr>
        <w:spacing w:after="0" w:line="360" w:lineRule="auto"/>
        <w:jc w:val="both"/>
        <w:rPr>
          <w:sz w:val="24"/>
          <w:szCs w:val="24"/>
        </w:rPr>
      </w:pPr>
      <w:r w:rsidRPr="00A13BB2">
        <w:rPr>
          <w:sz w:val="24"/>
          <w:szCs w:val="24"/>
        </w:rPr>
        <w:t>The TUI welcomes this opportunity to</w:t>
      </w:r>
      <w:r w:rsidR="00EC30FD" w:rsidRPr="00A13BB2">
        <w:rPr>
          <w:sz w:val="24"/>
          <w:szCs w:val="24"/>
        </w:rPr>
        <w:t xml:space="preserve"> </w:t>
      </w:r>
      <w:r w:rsidR="00A21BD2" w:rsidRPr="00A13BB2">
        <w:rPr>
          <w:sz w:val="24"/>
          <w:szCs w:val="24"/>
        </w:rPr>
        <w:t>make a submission to</w:t>
      </w:r>
      <w:r w:rsidRPr="00A13BB2">
        <w:rPr>
          <w:sz w:val="24"/>
          <w:szCs w:val="24"/>
        </w:rPr>
        <w:t xml:space="preserve"> </w:t>
      </w:r>
      <w:r w:rsidR="00EC30FD" w:rsidRPr="00A13BB2">
        <w:rPr>
          <w:sz w:val="24"/>
          <w:szCs w:val="24"/>
        </w:rPr>
        <w:t xml:space="preserve">the </w:t>
      </w:r>
      <w:r w:rsidR="00DE2175" w:rsidRPr="00A13BB2">
        <w:rPr>
          <w:sz w:val="24"/>
          <w:szCs w:val="24"/>
        </w:rPr>
        <w:t>DES</w:t>
      </w:r>
      <w:r w:rsidR="00EC30FD" w:rsidRPr="00A13BB2">
        <w:rPr>
          <w:sz w:val="24"/>
          <w:szCs w:val="24"/>
        </w:rPr>
        <w:t xml:space="preserve"> in relation to</w:t>
      </w:r>
      <w:r w:rsidRPr="00A13BB2">
        <w:rPr>
          <w:sz w:val="24"/>
          <w:szCs w:val="24"/>
        </w:rPr>
        <w:t xml:space="preserve"> </w:t>
      </w:r>
      <w:r w:rsidR="00A21BD2" w:rsidRPr="00A13BB2">
        <w:rPr>
          <w:rFonts w:eastAsia="Calibri" w:cs="Tahoma"/>
          <w:sz w:val="24"/>
          <w:szCs w:val="24"/>
        </w:rPr>
        <w:t>‘</w:t>
      </w:r>
      <w:r w:rsidR="009C794E" w:rsidRPr="00A13BB2">
        <w:rPr>
          <w:rFonts w:eastAsia="Calibri" w:cs="Tahoma"/>
          <w:b/>
          <w:sz w:val="24"/>
          <w:szCs w:val="24"/>
        </w:rPr>
        <w:t xml:space="preserve">the </w:t>
      </w:r>
      <w:r w:rsidR="00DE2175" w:rsidRPr="00A13BB2">
        <w:rPr>
          <w:rFonts w:eastAsia="Calibri" w:cs="Tahoma"/>
          <w:b/>
          <w:sz w:val="24"/>
          <w:szCs w:val="24"/>
        </w:rPr>
        <w:t>draft ESD action plan 2018-2020’</w:t>
      </w:r>
      <w:r w:rsidR="00BA3CEF" w:rsidRPr="00A13BB2">
        <w:rPr>
          <w:rFonts w:eastAsia="Calibri" w:cs="Tahoma"/>
          <w:b/>
          <w:sz w:val="24"/>
          <w:szCs w:val="24"/>
        </w:rPr>
        <w:t>.</w:t>
      </w:r>
      <w:r w:rsidR="00A21BD2" w:rsidRPr="00A13BB2">
        <w:rPr>
          <w:sz w:val="24"/>
          <w:szCs w:val="24"/>
        </w:rPr>
        <w:t xml:space="preserve">  </w:t>
      </w:r>
    </w:p>
    <w:p w14:paraId="29438C5D" w14:textId="7A934C51" w:rsidR="00BA3CEF" w:rsidRPr="00A13BB2" w:rsidRDefault="00BA3CEF" w:rsidP="00A13BB2">
      <w:pPr>
        <w:spacing w:after="0" w:line="360" w:lineRule="auto"/>
        <w:jc w:val="both"/>
        <w:rPr>
          <w:rFonts w:eastAsiaTheme="majorEastAsia" w:cstheme="majorBidi"/>
          <w:bCs/>
          <w:sz w:val="24"/>
          <w:szCs w:val="24"/>
        </w:rPr>
      </w:pPr>
    </w:p>
    <w:p w14:paraId="7FE3B655" w14:textId="70FDFB15" w:rsidR="00BA3CEF" w:rsidRPr="00A13BB2" w:rsidRDefault="00BA3CEF" w:rsidP="00A13BB2">
      <w:pPr>
        <w:spacing w:after="0" w:line="360" w:lineRule="auto"/>
        <w:jc w:val="both"/>
        <w:rPr>
          <w:rFonts w:eastAsiaTheme="majorEastAsia" w:cstheme="majorBidi"/>
          <w:b/>
          <w:bCs/>
          <w:sz w:val="24"/>
          <w:szCs w:val="24"/>
          <w:u w:val="single"/>
        </w:rPr>
      </w:pPr>
      <w:r w:rsidRPr="00A13BB2">
        <w:rPr>
          <w:rFonts w:eastAsiaTheme="majorEastAsia" w:cstheme="majorBidi"/>
          <w:b/>
          <w:bCs/>
          <w:sz w:val="24"/>
          <w:szCs w:val="24"/>
          <w:u w:val="single"/>
        </w:rPr>
        <w:t>Background</w:t>
      </w:r>
    </w:p>
    <w:p w14:paraId="3E08FEE5" w14:textId="41ECAD4A" w:rsidR="00DD2118" w:rsidRPr="00A13BB2" w:rsidRDefault="0098067E" w:rsidP="00A13BB2">
      <w:pPr>
        <w:spacing w:line="360" w:lineRule="auto"/>
        <w:jc w:val="both"/>
        <w:rPr>
          <w:rFonts w:eastAsiaTheme="majorEastAsia" w:cstheme="majorBidi"/>
          <w:bCs/>
          <w:sz w:val="24"/>
          <w:szCs w:val="24"/>
        </w:rPr>
      </w:pPr>
      <w:r w:rsidRPr="00A13BB2">
        <w:rPr>
          <w:rFonts w:eastAsiaTheme="majorEastAsia" w:cstheme="majorBidi"/>
          <w:bCs/>
          <w:sz w:val="24"/>
          <w:szCs w:val="24"/>
        </w:rPr>
        <w:t>Ireland has an internationally acknowledged, high-</w:t>
      </w:r>
      <w:bookmarkStart w:id="2" w:name="_Hlk502824748"/>
      <w:r w:rsidRPr="00A13BB2">
        <w:rPr>
          <w:rFonts w:eastAsiaTheme="majorEastAsia" w:cstheme="majorBidi"/>
          <w:bCs/>
          <w:sz w:val="24"/>
          <w:szCs w:val="24"/>
        </w:rPr>
        <w:t>performing education system</w:t>
      </w:r>
      <w:r w:rsidR="00667374" w:rsidRPr="00A13BB2">
        <w:rPr>
          <w:rFonts w:eastAsiaTheme="majorEastAsia" w:cstheme="majorBidi"/>
          <w:bCs/>
          <w:sz w:val="24"/>
          <w:szCs w:val="24"/>
        </w:rPr>
        <w:t xml:space="preserve"> an</w:t>
      </w:r>
      <w:r w:rsidR="008132E9" w:rsidRPr="00A13BB2">
        <w:rPr>
          <w:rFonts w:eastAsiaTheme="majorEastAsia" w:cstheme="majorBidi"/>
          <w:bCs/>
          <w:sz w:val="24"/>
          <w:szCs w:val="24"/>
        </w:rPr>
        <w:t>d</w:t>
      </w:r>
      <w:r w:rsidR="00667374" w:rsidRPr="00A13BB2">
        <w:rPr>
          <w:rFonts w:eastAsiaTheme="majorEastAsia" w:cstheme="majorBidi"/>
          <w:bCs/>
          <w:sz w:val="24"/>
          <w:szCs w:val="24"/>
        </w:rPr>
        <w:t xml:space="preserve"> resp</w:t>
      </w:r>
      <w:r w:rsidRPr="00A13BB2">
        <w:rPr>
          <w:rFonts w:eastAsiaTheme="majorEastAsia" w:cstheme="majorBidi"/>
          <w:bCs/>
          <w:sz w:val="24"/>
          <w:szCs w:val="24"/>
        </w:rPr>
        <w:t xml:space="preserve">ected teaching profession (Teaching Council, 2010; OECD, 2013; DES, 2018a; OECD, 2015a; OECD, 2009; NAPD, 2016; </w:t>
      </w:r>
      <w:proofErr w:type="spellStart"/>
      <w:r w:rsidRPr="00A13BB2">
        <w:rPr>
          <w:rFonts w:eastAsiaTheme="majorEastAsia" w:cstheme="majorBidi"/>
          <w:bCs/>
          <w:sz w:val="24"/>
          <w:szCs w:val="24"/>
        </w:rPr>
        <w:t>Comhairle</w:t>
      </w:r>
      <w:proofErr w:type="spellEnd"/>
      <w:r w:rsidRPr="00A13BB2">
        <w:rPr>
          <w:rFonts w:eastAsiaTheme="majorEastAsia" w:cstheme="majorBidi"/>
          <w:bCs/>
          <w:sz w:val="24"/>
          <w:szCs w:val="24"/>
        </w:rPr>
        <w:t xml:space="preserve"> </w:t>
      </w:r>
      <w:proofErr w:type="spellStart"/>
      <w:r w:rsidRPr="00A13BB2">
        <w:rPr>
          <w:rFonts w:eastAsiaTheme="majorEastAsia" w:cstheme="majorBidi"/>
          <w:bCs/>
          <w:sz w:val="24"/>
          <w:szCs w:val="24"/>
        </w:rPr>
        <w:t>na</w:t>
      </w:r>
      <w:proofErr w:type="spellEnd"/>
      <w:r w:rsidRPr="00A13BB2">
        <w:rPr>
          <w:rFonts w:eastAsiaTheme="majorEastAsia" w:cstheme="majorBidi"/>
          <w:bCs/>
          <w:sz w:val="24"/>
          <w:szCs w:val="24"/>
        </w:rPr>
        <w:t xml:space="preserve"> </w:t>
      </w:r>
      <w:proofErr w:type="spellStart"/>
      <w:r w:rsidRPr="00A13BB2">
        <w:rPr>
          <w:rFonts w:eastAsiaTheme="majorEastAsia" w:cstheme="majorBidi"/>
          <w:bCs/>
          <w:sz w:val="24"/>
          <w:szCs w:val="24"/>
        </w:rPr>
        <w:t>nOg</w:t>
      </w:r>
      <w:proofErr w:type="spellEnd"/>
      <w:r w:rsidRPr="00A13BB2">
        <w:rPr>
          <w:rFonts w:eastAsiaTheme="majorEastAsia" w:cstheme="majorBidi"/>
          <w:bCs/>
          <w:sz w:val="24"/>
          <w:szCs w:val="24"/>
        </w:rPr>
        <w:t xml:space="preserve">, </w:t>
      </w:r>
      <w:r w:rsidR="009E0809" w:rsidRPr="00A13BB2">
        <w:rPr>
          <w:rFonts w:eastAsiaTheme="majorEastAsia" w:cstheme="majorBidi"/>
          <w:bCs/>
          <w:sz w:val="24"/>
          <w:szCs w:val="24"/>
        </w:rPr>
        <w:t>2017; Growing Up in Ireland, 2017;</w:t>
      </w:r>
      <w:r w:rsidRPr="00A13BB2">
        <w:rPr>
          <w:rFonts w:eastAsiaTheme="majorEastAsia" w:cstheme="majorBidi"/>
          <w:bCs/>
          <w:sz w:val="24"/>
          <w:szCs w:val="24"/>
        </w:rPr>
        <w:t xml:space="preserve"> IPSOS MRBI Trust in the Professions Survey, 2017; Boyle, 2017</w:t>
      </w:r>
      <w:r w:rsidR="009E0809" w:rsidRPr="00A13BB2">
        <w:rPr>
          <w:rFonts w:eastAsiaTheme="majorEastAsia" w:cstheme="majorBidi"/>
          <w:bCs/>
          <w:sz w:val="24"/>
          <w:szCs w:val="24"/>
        </w:rPr>
        <w:t>;</w:t>
      </w:r>
      <w:r w:rsidRPr="00A13BB2">
        <w:rPr>
          <w:rFonts w:eastAsiaTheme="majorEastAsia" w:cstheme="majorBidi"/>
          <w:bCs/>
          <w:sz w:val="24"/>
          <w:szCs w:val="24"/>
        </w:rPr>
        <w:t xml:space="preserve"> Scanlon &amp; McKenna, 2018; EU </w:t>
      </w:r>
      <w:r w:rsidR="009E0809" w:rsidRPr="00A13BB2">
        <w:rPr>
          <w:rFonts w:eastAsiaTheme="majorEastAsia" w:cstheme="majorBidi"/>
          <w:bCs/>
          <w:sz w:val="24"/>
          <w:szCs w:val="24"/>
        </w:rPr>
        <w:t>Commission/EACEA/Eurydice, 2018;</w:t>
      </w:r>
      <w:r w:rsidRPr="00A13BB2">
        <w:rPr>
          <w:rFonts w:eastAsiaTheme="majorEastAsia" w:cstheme="majorBidi"/>
          <w:bCs/>
          <w:sz w:val="24"/>
          <w:szCs w:val="24"/>
        </w:rPr>
        <w:t xml:space="preserve"> Kantar Millward Brown, 2018</w:t>
      </w:r>
      <w:r w:rsidR="009E0809" w:rsidRPr="00A13BB2">
        <w:rPr>
          <w:rFonts w:eastAsiaTheme="majorEastAsia" w:cstheme="majorBidi"/>
          <w:bCs/>
          <w:sz w:val="24"/>
          <w:szCs w:val="24"/>
        </w:rPr>
        <w:t>; EU Commission, 2018;</w:t>
      </w:r>
      <w:r w:rsidR="00BC5F90" w:rsidRPr="00A13BB2">
        <w:rPr>
          <w:rFonts w:eastAsiaTheme="majorEastAsia" w:cstheme="majorBidi"/>
          <w:bCs/>
          <w:sz w:val="24"/>
          <w:szCs w:val="24"/>
        </w:rPr>
        <w:t xml:space="preserve"> Social Progress Imperative, 2018</w:t>
      </w:r>
      <w:r w:rsidR="0053094D" w:rsidRPr="00A13BB2">
        <w:rPr>
          <w:rFonts w:eastAsiaTheme="majorEastAsia" w:cstheme="majorBidi"/>
          <w:bCs/>
          <w:sz w:val="24"/>
          <w:szCs w:val="24"/>
        </w:rPr>
        <w:t>; United Nations Development Programme, 2018</w:t>
      </w:r>
      <w:r w:rsidRPr="00A13BB2">
        <w:rPr>
          <w:rFonts w:eastAsiaTheme="majorEastAsia" w:cstheme="majorBidi"/>
          <w:bCs/>
          <w:sz w:val="24"/>
          <w:szCs w:val="24"/>
        </w:rPr>
        <w:t>) despite spending relatively little on education (OECD, 2015</w:t>
      </w:r>
      <w:bookmarkEnd w:id="2"/>
      <w:r w:rsidRPr="00A13BB2">
        <w:rPr>
          <w:rFonts w:eastAsiaTheme="majorEastAsia" w:cstheme="majorBidi"/>
          <w:bCs/>
          <w:sz w:val="24"/>
          <w:szCs w:val="24"/>
        </w:rPr>
        <w:t xml:space="preserve">b; SJI, 2018, NERI, 2018) and historic underinvestment (DES, 2018b). </w:t>
      </w:r>
      <w:r w:rsidR="00072A73" w:rsidRPr="00A13BB2">
        <w:rPr>
          <w:rFonts w:eastAsiaTheme="majorEastAsia" w:cstheme="majorBidi"/>
          <w:bCs/>
          <w:sz w:val="24"/>
          <w:szCs w:val="24"/>
        </w:rPr>
        <w:t>The rapidl</w:t>
      </w:r>
      <w:r w:rsidR="007B5316" w:rsidRPr="00A13BB2">
        <w:rPr>
          <w:rFonts w:eastAsiaTheme="majorEastAsia" w:cstheme="majorBidi"/>
          <w:bCs/>
          <w:sz w:val="24"/>
          <w:szCs w:val="24"/>
        </w:rPr>
        <w:t xml:space="preserve">y improving economic situation </w:t>
      </w:r>
      <w:r w:rsidR="007B5316" w:rsidRPr="00A13BB2">
        <w:rPr>
          <w:rFonts w:cs="Arial"/>
          <w:sz w:val="24"/>
          <w:szCs w:val="24"/>
        </w:rPr>
        <w:t>(OECD, 2017; ESRI, 2018; Central Bank, 2018; EY, 2018; IMF, 2017; EU Commission 2017</w:t>
      </w:r>
      <w:r w:rsidR="004F4FDD" w:rsidRPr="00A13BB2">
        <w:rPr>
          <w:rFonts w:cs="Arial"/>
          <w:sz w:val="24"/>
          <w:szCs w:val="24"/>
        </w:rPr>
        <w:t>; NERI, 2018</w:t>
      </w:r>
      <w:r w:rsidR="007B5316" w:rsidRPr="00A13BB2">
        <w:rPr>
          <w:rFonts w:cs="Arial"/>
          <w:sz w:val="24"/>
          <w:szCs w:val="24"/>
        </w:rPr>
        <w:t>)</w:t>
      </w:r>
      <w:r w:rsidR="00072A73" w:rsidRPr="00A13BB2">
        <w:rPr>
          <w:rFonts w:eastAsiaTheme="majorEastAsia" w:cstheme="majorBidi"/>
          <w:bCs/>
          <w:sz w:val="24"/>
          <w:szCs w:val="24"/>
        </w:rPr>
        <w:t xml:space="preserve"> means that Government is in a good position to make a meaningful contribution to continue supporting students </w:t>
      </w:r>
      <w:r w:rsidR="00452512" w:rsidRPr="00A13BB2">
        <w:rPr>
          <w:rFonts w:eastAsiaTheme="majorEastAsia" w:cstheme="majorBidi"/>
          <w:bCs/>
          <w:sz w:val="24"/>
          <w:szCs w:val="24"/>
        </w:rPr>
        <w:t xml:space="preserve">through the provision of </w:t>
      </w:r>
      <w:r w:rsidR="00147652" w:rsidRPr="00A13BB2">
        <w:rPr>
          <w:rFonts w:eastAsiaTheme="majorEastAsia" w:cstheme="majorBidi"/>
          <w:bCs/>
          <w:sz w:val="24"/>
          <w:szCs w:val="24"/>
        </w:rPr>
        <w:t xml:space="preserve">support for </w:t>
      </w:r>
      <w:r w:rsidR="008132E9" w:rsidRPr="00A13BB2">
        <w:rPr>
          <w:rFonts w:eastAsiaTheme="majorEastAsia" w:cstheme="majorBidi"/>
          <w:bCs/>
          <w:sz w:val="24"/>
          <w:szCs w:val="24"/>
        </w:rPr>
        <w:t>ESD</w:t>
      </w:r>
      <w:r w:rsidR="00072A73" w:rsidRPr="00A13BB2">
        <w:rPr>
          <w:rFonts w:eastAsiaTheme="majorEastAsia" w:cstheme="majorBidi"/>
          <w:bCs/>
          <w:sz w:val="24"/>
          <w:szCs w:val="24"/>
        </w:rPr>
        <w:t>.</w:t>
      </w:r>
    </w:p>
    <w:p w14:paraId="041CFD15" w14:textId="77777777" w:rsidR="00167086" w:rsidRPr="00A13BB2" w:rsidRDefault="00167086" w:rsidP="00A13BB2">
      <w:pPr>
        <w:spacing w:after="0" w:line="360" w:lineRule="auto"/>
        <w:jc w:val="both"/>
        <w:rPr>
          <w:sz w:val="24"/>
          <w:szCs w:val="24"/>
        </w:rPr>
      </w:pPr>
    </w:p>
    <w:p w14:paraId="472552AA" w14:textId="6369C0FC" w:rsidR="009C794E" w:rsidRPr="00A13BB2" w:rsidRDefault="00CD6054" w:rsidP="00A13BB2">
      <w:pPr>
        <w:spacing w:after="0" w:line="360" w:lineRule="auto"/>
        <w:jc w:val="both"/>
        <w:rPr>
          <w:sz w:val="24"/>
          <w:szCs w:val="24"/>
        </w:rPr>
      </w:pPr>
      <w:r w:rsidRPr="00A13BB2">
        <w:rPr>
          <w:sz w:val="24"/>
          <w:szCs w:val="24"/>
        </w:rPr>
        <w:t xml:space="preserve">Ireland has a very young population (Eurostat, 2015).  In 2008, we had the second highest proportion of </w:t>
      </w:r>
      <w:r w:rsidR="00C3579A" w:rsidRPr="00A13BB2">
        <w:rPr>
          <w:sz w:val="24"/>
          <w:szCs w:val="24"/>
        </w:rPr>
        <w:t>10-14-year</w:t>
      </w:r>
      <w:r w:rsidRPr="00A13BB2">
        <w:rPr>
          <w:sz w:val="24"/>
          <w:szCs w:val="24"/>
        </w:rPr>
        <w:t xml:space="preserve"> olds in the European Union (CSO, 2009).  The high birth rate in Ireland (CSO, 2017; Eurostat, 2017) indicates that the population of young people is likely to remain high for the foreseeab</w:t>
      </w:r>
      <w:r w:rsidR="002B7C4F" w:rsidRPr="00A13BB2">
        <w:rPr>
          <w:sz w:val="24"/>
          <w:szCs w:val="24"/>
        </w:rPr>
        <w:t>le future.  The DES (2012, 2017</w:t>
      </w:r>
      <w:r w:rsidRPr="00A13BB2">
        <w:rPr>
          <w:sz w:val="24"/>
          <w:szCs w:val="24"/>
        </w:rPr>
        <w:t xml:space="preserve">) suggests that the number of students in the </w:t>
      </w:r>
      <w:r w:rsidR="009C794E" w:rsidRPr="00A13BB2">
        <w:rPr>
          <w:sz w:val="24"/>
          <w:szCs w:val="24"/>
        </w:rPr>
        <w:t>post-</w:t>
      </w:r>
      <w:r w:rsidRPr="00A13BB2">
        <w:rPr>
          <w:sz w:val="24"/>
          <w:szCs w:val="24"/>
        </w:rPr>
        <w:t xml:space="preserve">primary school system will rise by almost one hundred thousand in second level </w:t>
      </w:r>
      <w:r w:rsidR="007B5316" w:rsidRPr="00A13BB2">
        <w:rPr>
          <w:sz w:val="24"/>
          <w:szCs w:val="24"/>
        </w:rPr>
        <w:t>between</w:t>
      </w:r>
      <w:r w:rsidRPr="00A13BB2">
        <w:rPr>
          <w:sz w:val="24"/>
          <w:szCs w:val="24"/>
        </w:rPr>
        <w:t xml:space="preserve"> 2011 </w:t>
      </w:r>
      <w:r w:rsidR="007B5316" w:rsidRPr="00A13BB2">
        <w:rPr>
          <w:sz w:val="24"/>
          <w:szCs w:val="24"/>
        </w:rPr>
        <w:t>and</w:t>
      </w:r>
      <w:r w:rsidRPr="00A13BB2">
        <w:rPr>
          <w:sz w:val="24"/>
          <w:szCs w:val="24"/>
        </w:rPr>
        <w:t xml:space="preserve"> 2025 (322,528 to 416,897).  </w:t>
      </w:r>
      <w:r w:rsidR="009C794E" w:rsidRPr="00A13BB2">
        <w:rPr>
          <w:sz w:val="24"/>
          <w:szCs w:val="24"/>
        </w:rPr>
        <w:t xml:space="preserve">The latest projections </w:t>
      </w:r>
      <w:r w:rsidR="007B5316" w:rsidRPr="00A13BB2">
        <w:rPr>
          <w:sz w:val="24"/>
          <w:szCs w:val="24"/>
        </w:rPr>
        <w:t>in</w:t>
      </w:r>
      <w:r w:rsidR="009C794E" w:rsidRPr="00A13BB2">
        <w:rPr>
          <w:sz w:val="24"/>
          <w:szCs w:val="24"/>
        </w:rPr>
        <w:t xml:space="preserve"> DPER (2018) are that </w:t>
      </w:r>
      <w:r w:rsidR="00452512" w:rsidRPr="00A13BB2">
        <w:rPr>
          <w:sz w:val="24"/>
          <w:szCs w:val="24"/>
        </w:rPr>
        <w:t>enrolments in post-primary are expected to rise 12.5% between 2018 and 2024</w:t>
      </w:r>
      <w:r w:rsidR="009C794E" w:rsidRPr="00A13BB2">
        <w:rPr>
          <w:sz w:val="24"/>
          <w:szCs w:val="24"/>
        </w:rPr>
        <w:t xml:space="preserve">.  </w:t>
      </w:r>
      <w:r w:rsidR="008132E9" w:rsidRPr="00A13BB2">
        <w:rPr>
          <w:sz w:val="24"/>
          <w:szCs w:val="24"/>
        </w:rPr>
        <w:t xml:space="preserve">The DES (2015) estimates that the number of students in the higher education system will rise by thirty to fifty thousand between 2015 and 2029.  </w:t>
      </w:r>
      <w:r w:rsidR="009C794E" w:rsidRPr="00A13BB2">
        <w:rPr>
          <w:sz w:val="24"/>
          <w:szCs w:val="24"/>
        </w:rPr>
        <w:t xml:space="preserve">This </w:t>
      </w:r>
      <w:r w:rsidR="008132E9" w:rsidRPr="00A13BB2">
        <w:rPr>
          <w:sz w:val="24"/>
          <w:szCs w:val="24"/>
        </w:rPr>
        <w:t xml:space="preserve">demographic growth </w:t>
      </w:r>
      <w:r w:rsidR="009C794E" w:rsidRPr="00A13BB2">
        <w:rPr>
          <w:sz w:val="24"/>
          <w:szCs w:val="24"/>
        </w:rPr>
        <w:t xml:space="preserve">creates obvious issues regarding the timely provision of </w:t>
      </w:r>
      <w:r w:rsidR="008132E9" w:rsidRPr="00A13BB2">
        <w:rPr>
          <w:sz w:val="24"/>
          <w:szCs w:val="24"/>
        </w:rPr>
        <w:t>ESD, as well as underlining the need for substantial investment in the education system</w:t>
      </w:r>
      <w:r w:rsidR="009C794E" w:rsidRPr="00A13BB2">
        <w:rPr>
          <w:sz w:val="24"/>
          <w:szCs w:val="24"/>
        </w:rPr>
        <w:t>.</w:t>
      </w:r>
    </w:p>
    <w:p w14:paraId="42D9E9FE" w14:textId="77777777" w:rsidR="009C794E" w:rsidRPr="00A13BB2" w:rsidRDefault="009C794E" w:rsidP="00A13BB2">
      <w:pPr>
        <w:spacing w:after="0" w:line="360" w:lineRule="auto"/>
        <w:jc w:val="both"/>
        <w:rPr>
          <w:sz w:val="24"/>
          <w:szCs w:val="24"/>
        </w:rPr>
      </w:pPr>
    </w:p>
    <w:p w14:paraId="1C3ABAB2" w14:textId="5270F466" w:rsidR="009C794E" w:rsidRPr="00A13BB2" w:rsidRDefault="00147652" w:rsidP="00A13BB2">
      <w:pPr>
        <w:spacing w:after="0" w:line="360" w:lineRule="auto"/>
        <w:jc w:val="both"/>
        <w:rPr>
          <w:b/>
          <w:sz w:val="24"/>
          <w:szCs w:val="24"/>
          <w:u w:val="single"/>
        </w:rPr>
      </w:pPr>
      <w:r w:rsidRPr="00A13BB2">
        <w:rPr>
          <w:b/>
          <w:sz w:val="24"/>
          <w:szCs w:val="24"/>
          <w:u w:val="single"/>
        </w:rPr>
        <w:t>E</w:t>
      </w:r>
      <w:r w:rsidR="009C794E" w:rsidRPr="00A13BB2">
        <w:rPr>
          <w:b/>
          <w:sz w:val="24"/>
          <w:szCs w:val="24"/>
          <w:u w:val="single"/>
        </w:rPr>
        <w:t xml:space="preserve">SD – </w:t>
      </w:r>
      <w:r w:rsidRPr="00A13BB2">
        <w:rPr>
          <w:b/>
          <w:sz w:val="24"/>
          <w:szCs w:val="24"/>
          <w:u w:val="single"/>
        </w:rPr>
        <w:t>Generally</w:t>
      </w:r>
    </w:p>
    <w:p w14:paraId="362EA7F7" w14:textId="7AE9E428" w:rsidR="00147652" w:rsidRPr="00A13BB2" w:rsidRDefault="00147652" w:rsidP="00A13BB2">
      <w:pPr>
        <w:spacing w:after="0" w:line="360" w:lineRule="auto"/>
        <w:jc w:val="both"/>
        <w:rPr>
          <w:sz w:val="24"/>
          <w:szCs w:val="24"/>
        </w:rPr>
      </w:pPr>
      <w:r w:rsidRPr="00A13BB2">
        <w:rPr>
          <w:sz w:val="24"/>
          <w:szCs w:val="24"/>
        </w:rPr>
        <w:t xml:space="preserve">ESD is very important in terms of society and the economy generally, as well as the education system specifically.  The TUI welcomes the commitment of the DES to ESD but also draws the attention of the DES to the many other priorities which schools try to meet </w:t>
      </w:r>
      <w:proofErr w:type="gramStart"/>
      <w:r w:rsidRPr="00A13BB2">
        <w:rPr>
          <w:sz w:val="24"/>
          <w:szCs w:val="24"/>
        </w:rPr>
        <w:t>on a daily basis</w:t>
      </w:r>
      <w:proofErr w:type="gramEnd"/>
      <w:r w:rsidRPr="00A13BB2">
        <w:rPr>
          <w:sz w:val="24"/>
          <w:szCs w:val="24"/>
        </w:rPr>
        <w:t>.  It is important that the DES not engage in “</w:t>
      </w:r>
      <w:proofErr w:type="spellStart"/>
      <w:r w:rsidRPr="00A13BB2">
        <w:rPr>
          <w:sz w:val="24"/>
          <w:szCs w:val="24"/>
        </w:rPr>
        <w:t>initiativitis</w:t>
      </w:r>
      <w:proofErr w:type="spellEnd"/>
      <w:r w:rsidRPr="00A13BB2">
        <w:rPr>
          <w:sz w:val="24"/>
          <w:szCs w:val="24"/>
        </w:rPr>
        <w:t>” (Fullan, 2008) or “repetitive change syndrome” (Abrahamson, 2004). Abrahamson refers to symptoms of overload, chaos, anxiety, cynicism and burn-out. The International Review of Curriculum and Assessment Frameworks (INCA, 2003) found that curricular overload was putting pressure on schools in many countries.</w:t>
      </w:r>
    </w:p>
    <w:p w14:paraId="76310F45" w14:textId="77777777" w:rsidR="00147652" w:rsidRPr="00A13BB2" w:rsidRDefault="00147652" w:rsidP="00A13BB2">
      <w:pPr>
        <w:spacing w:after="0" w:line="360" w:lineRule="auto"/>
        <w:jc w:val="both"/>
        <w:rPr>
          <w:sz w:val="24"/>
          <w:szCs w:val="24"/>
        </w:rPr>
      </w:pPr>
    </w:p>
    <w:p w14:paraId="5337B765" w14:textId="77777777" w:rsidR="00CC53E8" w:rsidRPr="00A13BB2" w:rsidRDefault="00C05748" w:rsidP="00A13BB2">
      <w:pPr>
        <w:spacing w:after="0" w:line="360" w:lineRule="auto"/>
        <w:jc w:val="both"/>
        <w:rPr>
          <w:sz w:val="24"/>
          <w:szCs w:val="24"/>
        </w:rPr>
      </w:pPr>
      <w:r w:rsidRPr="00A13BB2">
        <w:rPr>
          <w:sz w:val="24"/>
          <w:szCs w:val="24"/>
        </w:rPr>
        <w:t xml:space="preserve">It is important that human rights are encompassed within ESD.  For that </w:t>
      </w:r>
      <w:proofErr w:type="gramStart"/>
      <w:r w:rsidRPr="00A13BB2">
        <w:rPr>
          <w:sz w:val="24"/>
          <w:szCs w:val="24"/>
        </w:rPr>
        <w:t>reason</w:t>
      </w:r>
      <w:proofErr w:type="gramEnd"/>
      <w:r w:rsidRPr="00A13BB2">
        <w:rPr>
          <w:sz w:val="24"/>
          <w:szCs w:val="24"/>
        </w:rPr>
        <w:t xml:space="preserve"> it is important that specific reference be made to the vital role played by trade unions in the </w:t>
      </w:r>
      <w:r w:rsidR="00CC53E8" w:rsidRPr="00A13BB2">
        <w:rPr>
          <w:sz w:val="24"/>
          <w:szCs w:val="24"/>
        </w:rPr>
        <w:t>context of human rights and the sustainable development of society generally.</w:t>
      </w:r>
    </w:p>
    <w:p w14:paraId="1D459150" w14:textId="77777777" w:rsidR="00CC53E8" w:rsidRPr="00A13BB2" w:rsidRDefault="00CC53E8" w:rsidP="00A13BB2">
      <w:pPr>
        <w:spacing w:after="0" w:line="360" w:lineRule="auto"/>
        <w:jc w:val="both"/>
        <w:rPr>
          <w:sz w:val="24"/>
          <w:szCs w:val="24"/>
        </w:rPr>
      </w:pPr>
    </w:p>
    <w:p w14:paraId="4B0B9481" w14:textId="6549847E" w:rsidR="00CC53E8" w:rsidRPr="00A13BB2" w:rsidRDefault="00CC53E8" w:rsidP="00A13BB2">
      <w:pPr>
        <w:spacing w:after="0" w:line="360" w:lineRule="auto"/>
        <w:jc w:val="both"/>
        <w:rPr>
          <w:b/>
          <w:sz w:val="24"/>
          <w:szCs w:val="24"/>
          <w:u w:val="single"/>
        </w:rPr>
      </w:pPr>
      <w:r w:rsidRPr="00A13BB2">
        <w:rPr>
          <w:b/>
          <w:sz w:val="24"/>
          <w:szCs w:val="24"/>
          <w:u w:val="single"/>
        </w:rPr>
        <w:t>ESD draft plan – Specifically</w:t>
      </w:r>
    </w:p>
    <w:p w14:paraId="4B2FA873" w14:textId="6D1C936D" w:rsidR="00CD4329" w:rsidRPr="00A13BB2" w:rsidRDefault="00CC53E8" w:rsidP="00A13BB2">
      <w:pPr>
        <w:spacing w:after="0" w:line="360" w:lineRule="auto"/>
        <w:jc w:val="both"/>
        <w:rPr>
          <w:rFonts w:cs="Arial"/>
          <w:sz w:val="24"/>
          <w:szCs w:val="24"/>
        </w:rPr>
      </w:pPr>
      <w:r w:rsidRPr="00A13BB2">
        <w:rPr>
          <w:rFonts w:cs="Arial"/>
          <w:sz w:val="24"/>
          <w:szCs w:val="24"/>
        </w:rPr>
        <w:t>The TUI would like the following specific comments to be taken on board by the DES:</w:t>
      </w:r>
    </w:p>
    <w:p w14:paraId="42CB4FA0" w14:textId="08892BB2" w:rsidR="00CC53E8" w:rsidRPr="00A13BB2" w:rsidRDefault="00CC53E8" w:rsidP="00A13BB2">
      <w:pPr>
        <w:spacing w:after="0" w:line="360" w:lineRule="auto"/>
        <w:jc w:val="both"/>
        <w:rPr>
          <w:rFonts w:cs="Arial"/>
          <w:sz w:val="24"/>
          <w:szCs w:val="24"/>
        </w:rPr>
      </w:pPr>
      <w:r w:rsidRPr="00A13BB2">
        <w:rPr>
          <w:rFonts w:cs="Arial"/>
          <w:sz w:val="24"/>
          <w:szCs w:val="24"/>
        </w:rPr>
        <w:t>2.1</w:t>
      </w:r>
      <w:r w:rsidRPr="00A13BB2">
        <w:rPr>
          <w:rFonts w:cs="Arial"/>
          <w:sz w:val="24"/>
          <w:szCs w:val="24"/>
        </w:rPr>
        <w:tab/>
        <w:t xml:space="preserve">Participation in the </w:t>
      </w:r>
      <w:proofErr w:type="spellStart"/>
      <w:r w:rsidRPr="00A13BB2">
        <w:rPr>
          <w:rFonts w:cs="Arial"/>
          <w:sz w:val="24"/>
          <w:szCs w:val="24"/>
        </w:rPr>
        <w:t>Lifeskills</w:t>
      </w:r>
      <w:proofErr w:type="spellEnd"/>
      <w:r w:rsidRPr="00A13BB2">
        <w:rPr>
          <w:rFonts w:cs="Arial"/>
          <w:sz w:val="24"/>
          <w:szCs w:val="24"/>
        </w:rPr>
        <w:t xml:space="preserve"> Survey must be optional</w:t>
      </w:r>
    </w:p>
    <w:p w14:paraId="752B9F01" w14:textId="2DAAB25B" w:rsidR="00CC53E8" w:rsidRPr="00A13BB2" w:rsidRDefault="00CC53E8" w:rsidP="00A13BB2">
      <w:pPr>
        <w:spacing w:after="0" w:line="360" w:lineRule="auto"/>
        <w:ind w:left="720" w:hanging="720"/>
        <w:jc w:val="both"/>
        <w:rPr>
          <w:rFonts w:cs="Arial"/>
          <w:sz w:val="24"/>
          <w:szCs w:val="24"/>
        </w:rPr>
      </w:pPr>
      <w:r w:rsidRPr="00A13BB2">
        <w:rPr>
          <w:rFonts w:cs="Arial"/>
          <w:sz w:val="24"/>
          <w:szCs w:val="24"/>
        </w:rPr>
        <w:lastRenderedPageBreak/>
        <w:t>2.4</w:t>
      </w:r>
      <w:r w:rsidRPr="00A13BB2">
        <w:rPr>
          <w:rFonts w:cs="Arial"/>
          <w:sz w:val="24"/>
          <w:szCs w:val="24"/>
        </w:rPr>
        <w:tab/>
        <w:t>How does the DES intend to ‘monitor’ the number of SDG based projects undertaken?  It would not be acceptable to the TUI for schools to have to ‘report’ on such matters as they have more than enough work to do already.</w:t>
      </w:r>
    </w:p>
    <w:p w14:paraId="376D1F49" w14:textId="411DA2CB" w:rsidR="00CC53E8" w:rsidRPr="00A13BB2" w:rsidRDefault="00CC53E8" w:rsidP="00A13BB2">
      <w:pPr>
        <w:spacing w:after="0" w:line="360" w:lineRule="auto"/>
        <w:ind w:left="720" w:hanging="720"/>
        <w:jc w:val="both"/>
        <w:rPr>
          <w:rFonts w:cs="Arial"/>
          <w:sz w:val="24"/>
          <w:szCs w:val="24"/>
        </w:rPr>
      </w:pPr>
      <w:r w:rsidRPr="00A13BB2">
        <w:rPr>
          <w:rFonts w:cs="Arial"/>
          <w:sz w:val="24"/>
          <w:szCs w:val="24"/>
        </w:rPr>
        <w:t>3.11</w:t>
      </w:r>
      <w:r w:rsidRPr="00A13BB2">
        <w:rPr>
          <w:rFonts w:cs="Arial"/>
          <w:sz w:val="24"/>
          <w:szCs w:val="24"/>
        </w:rPr>
        <w:tab/>
        <w:t>The DES should consult with the NCCA regarding ‘short cour</w:t>
      </w:r>
      <w:r w:rsidR="00196C9A" w:rsidRPr="00A13BB2">
        <w:rPr>
          <w:rFonts w:cs="Arial"/>
          <w:sz w:val="24"/>
          <w:szCs w:val="24"/>
        </w:rPr>
        <w:t>ses and t</w:t>
      </w:r>
      <w:r w:rsidRPr="00A13BB2">
        <w:rPr>
          <w:rFonts w:cs="Arial"/>
          <w:sz w:val="24"/>
          <w:szCs w:val="24"/>
        </w:rPr>
        <w:t>ransition units’ as this is an a</w:t>
      </w:r>
      <w:r w:rsidR="00196C9A" w:rsidRPr="00A13BB2">
        <w:rPr>
          <w:rFonts w:cs="Arial"/>
          <w:sz w:val="24"/>
          <w:szCs w:val="24"/>
        </w:rPr>
        <w:t>rea of curriculum development th</w:t>
      </w:r>
      <w:r w:rsidRPr="00A13BB2">
        <w:rPr>
          <w:rFonts w:cs="Arial"/>
          <w:sz w:val="24"/>
          <w:szCs w:val="24"/>
        </w:rPr>
        <w:t>at is in flux and can prove to be controversial.</w:t>
      </w:r>
    </w:p>
    <w:p w14:paraId="156EA1FB" w14:textId="7955CC15" w:rsidR="00CC53E8" w:rsidRPr="00A13BB2" w:rsidRDefault="00CC53E8" w:rsidP="00A13BB2">
      <w:pPr>
        <w:spacing w:after="0" w:line="360" w:lineRule="auto"/>
        <w:ind w:left="720" w:hanging="720"/>
        <w:jc w:val="both"/>
        <w:rPr>
          <w:rFonts w:cs="Arial"/>
          <w:sz w:val="24"/>
          <w:szCs w:val="24"/>
        </w:rPr>
      </w:pPr>
      <w:r w:rsidRPr="00A13BB2">
        <w:rPr>
          <w:rFonts w:cs="Arial"/>
          <w:sz w:val="24"/>
          <w:szCs w:val="24"/>
        </w:rPr>
        <w:t>4.2</w:t>
      </w:r>
      <w:r w:rsidRPr="00A13BB2">
        <w:rPr>
          <w:rFonts w:cs="Arial"/>
          <w:sz w:val="24"/>
          <w:szCs w:val="24"/>
        </w:rPr>
        <w:tab/>
      </w:r>
      <w:bookmarkStart w:id="3" w:name="_Hlk527971378"/>
      <w:r w:rsidRPr="00A13BB2">
        <w:rPr>
          <w:rFonts w:cs="Arial"/>
          <w:sz w:val="24"/>
          <w:szCs w:val="24"/>
        </w:rPr>
        <w:t xml:space="preserve">The DES should consult with the </w:t>
      </w:r>
      <w:r w:rsidR="00196C9A" w:rsidRPr="00A13BB2">
        <w:rPr>
          <w:rFonts w:cs="Arial"/>
          <w:sz w:val="24"/>
          <w:szCs w:val="24"/>
        </w:rPr>
        <w:t>Teaching</w:t>
      </w:r>
      <w:r w:rsidRPr="00A13BB2">
        <w:rPr>
          <w:rFonts w:cs="Arial"/>
          <w:sz w:val="24"/>
          <w:szCs w:val="24"/>
        </w:rPr>
        <w:t xml:space="preserve"> Council regarding the ‘</w:t>
      </w:r>
      <w:r w:rsidR="00196C9A" w:rsidRPr="00A13BB2">
        <w:rPr>
          <w:rFonts w:cs="Arial"/>
          <w:sz w:val="24"/>
          <w:szCs w:val="24"/>
        </w:rPr>
        <w:t>accre</w:t>
      </w:r>
      <w:r w:rsidRPr="00A13BB2">
        <w:rPr>
          <w:rFonts w:cs="Arial"/>
          <w:sz w:val="24"/>
          <w:szCs w:val="24"/>
        </w:rPr>
        <w:t>d</w:t>
      </w:r>
      <w:r w:rsidR="00196C9A" w:rsidRPr="00A13BB2">
        <w:rPr>
          <w:rFonts w:cs="Arial"/>
          <w:sz w:val="24"/>
          <w:szCs w:val="24"/>
        </w:rPr>
        <w:t>i</w:t>
      </w:r>
      <w:r w:rsidRPr="00A13BB2">
        <w:rPr>
          <w:rFonts w:cs="Arial"/>
          <w:sz w:val="24"/>
          <w:szCs w:val="24"/>
        </w:rPr>
        <w:t>ting of teacher participation in ESD training in the context of Cosan’ as this is an area of ongoing discussion with the education partners and the TUI has a very strong view that further discussions regarding Cosan must be had before any such accreditation, for ESD or anything else, could be even contemplated.</w:t>
      </w:r>
      <w:bookmarkEnd w:id="3"/>
    </w:p>
    <w:p w14:paraId="5828F7AF" w14:textId="04F94931" w:rsidR="00CC53E8" w:rsidRPr="00A13BB2" w:rsidRDefault="00CC53E8" w:rsidP="00A13BB2">
      <w:pPr>
        <w:spacing w:after="0" w:line="360" w:lineRule="auto"/>
        <w:jc w:val="both"/>
        <w:rPr>
          <w:rFonts w:cs="Arial"/>
          <w:sz w:val="24"/>
          <w:szCs w:val="24"/>
        </w:rPr>
      </w:pPr>
      <w:r w:rsidRPr="00A13BB2">
        <w:rPr>
          <w:rFonts w:cs="Arial"/>
          <w:sz w:val="24"/>
          <w:szCs w:val="24"/>
        </w:rPr>
        <w:t>4.4</w:t>
      </w:r>
      <w:r w:rsidRPr="00A13BB2">
        <w:rPr>
          <w:rFonts w:cs="Arial"/>
          <w:sz w:val="24"/>
          <w:szCs w:val="24"/>
        </w:rPr>
        <w:tab/>
        <w:t>The TUI is unclear as to what this means and the implications of same.</w:t>
      </w:r>
    </w:p>
    <w:p w14:paraId="6A7989D5" w14:textId="333CDDC5" w:rsidR="00CC53E8" w:rsidRPr="00A13BB2" w:rsidRDefault="00CC53E8" w:rsidP="00A13BB2">
      <w:pPr>
        <w:spacing w:after="0" w:line="360" w:lineRule="auto"/>
        <w:ind w:left="720" w:hanging="720"/>
        <w:jc w:val="both"/>
        <w:rPr>
          <w:rFonts w:cs="Arial"/>
          <w:sz w:val="24"/>
          <w:szCs w:val="24"/>
        </w:rPr>
      </w:pPr>
      <w:r w:rsidRPr="00A13BB2">
        <w:rPr>
          <w:rFonts w:cs="Arial"/>
          <w:sz w:val="24"/>
          <w:szCs w:val="24"/>
        </w:rPr>
        <w:t>4.5</w:t>
      </w:r>
      <w:r w:rsidRPr="00A13BB2">
        <w:rPr>
          <w:rFonts w:cs="Arial"/>
          <w:sz w:val="24"/>
          <w:szCs w:val="24"/>
        </w:rPr>
        <w:tab/>
        <w:t>The TUI recognises the excellent work carried out by the network of Education Centres and is anxious to ensure that any request to education centres to ‘</w:t>
      </w:r>
      <w:r w:rsidR="00196C9A" w:rsidRPr="00A13BB2">
        <w:rPr>
          <w:rFonts w:cs="Arial"/>
          <w:sz w:val="24"/>
          <w:szCs w:val="24"/>
        </w:rPr>
        <w:t>monito</w:t>
      </w:r>
      <w:r w:rsidRPr="00A13BB2">
        <w:rPr>
          <w:rFonts w:cs="Arial"/>
          <w:sz w:val="24"/>
          <w:szCs w:val="24"/>
        </w:rPr>
        <w:t>r and report on ESD course provision’ would be light-touch.</w:t>
      </w:r>
    </w:p>
    <w:p w14:paraId="46AAFAC8" w14:textId="19DAD962" w:rsidR="00103D60" w:rsidRPr="00A13BB2" w:rsidRDefault="00103D60" w:rsidP="00A13BB2">
      <w:pPr>
        <w:spacing w:after="0" w:line="360" w:lineRule="auto"/>
        <w:ind w:left="720" w:hanging="720"/>
        <w:jc w:val="both"/>
        <w:rPr>
          <w:rFonts w:cs="Arial"/>
          <w:sz w:val="24"/>
          <w:szCs w:val="24"/>
        </w:rPr>
      </w:pPr>
      <w:r w:rsidRPr="00A13BB2">
        <w:rPr>
          <w:rFonts w:cs="Arial"/>
          <w:sz w:val="24"/>
          <w:szCs w:val="24"/>
        </w:rPr>
        <w:t>4.7</w:t>
      </w:r>
      <w:r w:rsidRPr="00A13BB2">
        <w:rPr>
          <w:rFonts w:cs="Arial"/>
          <w:sz w:val="24"/>
          <w:szCs w:val="24"/>
        </w:rPr>
        <w:tab/>
        <w:t>The DES must consult with the teacher unions regarding the suggestion for ‘ESD to become a recognised part of the induction programme’ for teachers.  Any proposal to change requirements for teacher induction and registration would be viewed most seriously by the TUI.  Any proposal to change conditions could only occur after a negotiated agreement was reached.</w:t>
      </w:r>
    </w:p>
    <w:p w14:paraId="7BD23886" w14:textId="0D966493" w:rsidR="00103D60" w:rsidRPr="00A13BB2" w:rsidRDefault="00103D60" w:rsidP="00A13BB2">
      <w:pPr>
        <w:spacing w:after="0" w:line="360" w:lineRule="auto"/>
        <w:ind w:left="720" w:hanging="720"/>
        <w:jc w:val="both"/>
        <w:rPr>
          <w:rFonts w:cs="Arial"/>
          <w:sz w:val="24"/>
          <w:szCs w:val="24"/>
        </w:rPr>
      </w:pPr>
      <w:r w:rsidRPr="00A13BB2">
        <w:rPr>
          <w:rFonts w:cs="Arial"/>
          <w:sz w:val="24"/>
          <w:szCs w:val="24"/>
        </w:rPr>
        <w:t>4.9</w:t>
      </w:r>
      <w:r w:rsidRPr="00A13BB2">
        <w:rPr>
          <w:rFonts w:cs="Arial"/>
          <w:sz w:val="24"/>
          <w:szCs w:val="24"/>
        </w:rPr>
        <w:tab/>
        <w:t xml:space="preserve">The concept of future strategies making reference to ESD is </w:t>
      </w:r>
      <w:proofErr w:type="gramStart"/>
      <w:r w:rsidRPr="00A13BB2">
        <w:rPr>
          <w:rFonts w:cs="Arial"/>
          <w:sz w:val="24"/>
          <w:szCs w:val="24"/>
        </w:rPr>
        <w:t>noble</w:t>
      </w:r>
      <w:proofErr w:type="gramEnd"/>
      <w:r w:rsidRPr="00A13BB2">
        <w:rPr>
          <w:rFonts w:cs="Arial"/>
          <w:sz w:val="24"/>
          <w:szCs w:val="24"/>
        </w:rPr>
        <w:t xml:space="preserve"> but it is unlikely that every future strategy would need to reference ESD especially if that strategy had nothing to do with ESD.</w:t>
      </w:r>
    </w:p>
    <w:p w14:paraId="5D9D1060" w14:textId="5073FD06" w:rsidR="00103D60" w:rsidRPr="00A13BB2" w:rsidRDefault="00103D60" w:rsidP="00A13BB2">
      <w:pPr>
        <w:spacing w:after="0" w:line="360" w:lineRule="auto"/>
        <w:ind w:left="720" w:hanging="720"/>
        <w:jc w:val="both"/>
        <w:rPr>
          <w:rFonts w:cs="Arial"/>
          <w:sz w:val="24"/>
          <w:szCs w:val="24"/>
        </w:rPr>
      </w:pPr>
      <w:r w:rsidRPr="00A13BB2">
        <w:rPr>
          <w:rFonts w:cs="Arial"/>
          <w:sz w:val="24"/>
          <w:szCs w:val="24"/>
        </w:rPr>
        <w:t>6.4</w:t>
      </w:r>
      <w:r w:rsidRPr="00A13BB2">
        <w:rPr>
          <w:rFonts w:cs="Arial"/>
          <w:sz w:val="24"/>
          <w:szCs w:val="24"/>
        </w:rPr>
        <w:tab/>
        <w:t xml:space="preserve">The TUI believes that all students should be able to access ESD.  For that </w:t>
      </w:r>
      <w:proofErr w:type="gramStart"/>
      <w:r w:rsidRPr="00A13BB2">
        <w:rPr>
          <w:rFonts w:cs="Arial"/>
          <w:sz w:val="24"/>
          <w:szCs w:val="24"/>
        </w:rPr>
        <w:t>reason</w:t>
      </w:r>
      <w:proofErr w:type="gramEnd"/>
      <w:r w:rsidRPr="00A13BB2">
        <w:rPr>
          <w:rFonts w:cs="Arial"/>
          <w:sz w:val="24"/>
          <w:szCs w:val="24"/>
        </w:rPr>
        <w:t xml:space="preserve"> it is regrettable that the DES has not announced that all students will have access to genuinely free education as an inherent part of the social contract.  The TUI, and our colleagues in ICTU and its member unions, have repeatedly put forward suggestions as to how genuinely free education could be provided in all levels of the education system (for example see TUI, 2018; ICTU, 2018).</w:t>
      </w:r>
    </w:p>
    <w:p w14:paraId="0F0ECCF9" w14:textId="47BEDF54" w:rsidR="00103D60" w:rsidRPr="00A13BB2" w:rsidRDefault="00103D60" w:rsidP="00A13BB2">
      <w:pPr>
        <w:spacing w:after="0" w:line="360" w:lineRule="auto"/>
        <w:jc w:val="both"/>
        <w:rPr>
          <w:rFonts w:cs="Arial"/>
          <w:sz w:val="24"/>
          <w:szCs w:val="24"/>
        </w:rPr>
      </w:pPr>
    </w:p>
    <w:p w14:paraId="5B13E7AC" w14:textId="77777777" w:rsidR="00CD4329" w:rsidRPr="00A13BB2" w:rsidRDefault="00CD4329" w:rsidP="00A13BB2">
      <w:pPr>
        <w:spacing w:after="0" w:line="360" w:lineRule="auto"/>
        <w:jc w:val="both"/>
        <w:rPr>
          <w:rFonts w:cs="Arial"/>
          <w:b/>
          <w:sz w:val="24"/>
          <w:szCs w:val="24"/>
          <w:u w:val="single"/>
        </w:rPr>
      </w:pPr>
      <w:r w:rsidRPr="00A13BB2">
        <w:rPr>
          <w:rFonts w:cs="Arial"/>
          <w:b/>
          <w:sz w:val="24"/>
          <w:szCs w:val="24"/>
          <w:u w:val="single"/>
        </w:rPr>
        <w:t>Conclusion</w:t>
      </w:r>
    </w:p>
    <w:p w14:paraId="0B245E22" w14:textId="1DF51C31" w:rsidR="00196C9A" w:rsidRPr="00A13BB2" w:rsidRDefault="003C1482" w:rsidP="00A13BB2">
      <w:pPr>
        <w:spacing w:after="0" w:line="360" w:lineRule="auto"/>
        <w:jc w:val="both"/>
        <w:rPr>
          <w:rFonts w:cs="Arial"/>
          <w:sz w:val="24"/>
          <w:szCs w:val="24"/>
        </w:rPr>
      </w:pPr>
      <w:r w:rsidRPr="00A13BB2">
        <w:rPr>
          <w:rFonts w:cs="Arial"/>
          <w:sz w:val="24"/>
          <w:szCs w:val="24"/>
        </w:rPr>
        <w:lastRenderedPageBreak/>
        <w:t>It is clear from the a</w:t>
      </w:r>
      <w:r w:rsidR="00372A96" w:rsidRPr="00A13BB2">
        <w:rPr>
          <w:rFonts w:cs="Arial"/>
          <w:sz w:val="24"/>
          <w:szCs w:val="24"/>
        </w:rPr>
        <w:t xml:space="preserve">bove that the </w:t>
      </w:r>
      <w:r w:rsidR="00C86E21" w:rsidRPr="00A13BB2">
        <w:rPr>
          <w:rFonts w:cs="Arial"/>
          <w:sz w:val="24"/>
          <w:szCs w:val="24"/>
        </w:rPr>
        <w:t xml:space="preserve">ESD Action Plan 2018-2020 has many positive elements but could benefit from the amendments suggested above.  </w:t>
      </w:r>
      <w:proofErr w:type="gramStart"/>
      <w:r w:rsidR="00C86E21" w:rsidRPr="00A13BB2">
        <w:rPr>
          <w:rFonts w:cs="Arial"/>
          <w:sz w:val="24"/>
          <w:szCs w:val="24"/>
        </w:rPr>
        <w:t xml:space="preserve">In particular, </w:t>
      </w:r>
      <w:r w:rsidR="00196C9A" w:rsidRPr="00A13BB2">
        <w:rPr>
          <w:rFonts w:cs="Arial"/>
          <w:sz w:val="24"/>
          <w:szCs w:val="24"/>
        </w:rPr>
        <w:t>reference</w:t>
      </w:r>
      <w:proofErr w:type="gramEnd"/>
      <w:r w:rsidR="00196C9A" w:rsidRPr="00A13BB2">
        <w:rPr>
          <w:rFonts w:cs="Arial"/>
          <w:sz w:val="24"/>
          <w:szCs w:val="24"/>
        </w:rPr>
        <w:t xml:space="preserve"> should be made to the vital role played in society by the trade union movement</w:t>
      </w:r>
      <w:r w:rsidR="00C4699B" w:rsidRPr="00A13BB2">
        <w:rPr>
          <w:rFonts w:cs="Arial"/>
          <w:sz w:val="24"/>
          <w:szCs w:val="24"/>
        </w:rPr>
        <w:t>.  Further</w:t>
      </w:r>
      <w:r w:rsidR="00196C9A" w:rsidRPr="00A13BB2">
        <w:rPr>
          <w:rFonts w:cs="Arial"/>
          <w:sz w:val="24"/>
          <w:szCs w:val="24"/>
        </w:rPr>
        <w:t>more, any changes to the work of schools and teachers can only take place following negotiation.  Schools are already under significant pressure and ‘</w:t>
      </w:r>
      <w:proofErr w:type="spellStart"/>
      <w:r w:rsidR="00196C9A" w:rsidRPr="00A13BB2">
        <w:rPr>
          <w:rFonts w:cs="Arial"/>
          <w:sz w:val="24"/>
          <w:szCs w:val="24"/>
        </w:rPr>
        <w:t>initiativitis</w:t>
      </w:r>
      <w:proofErr w:type="spellEnd"/>
      <w:r w:rsidR="00196C9A" w:rsidRPr="00A13BB2">
        <w:rPr>
          <w:rFonts w:cs="Arial"/>
          <w:sz w:val="24"/>
          <w:szCs w:val="24"/>
        </w:rPr>
        <w:t>’ is not acceptable to the TUI.</w:t>
      </w:r>
    </w:p>
    <w:p w14:paraId="4FFE2095" w14:textId="77777777" w:rsidR="00196C9A" w:rsidRPr="00A13BB2" w:rsidRDefault="00196C9A" w:rsidP="00A13BB2">
      <w:pPr>
        <w:spacing w:after="0" w:line="360" w:lineRule="auto"/>
        <w:jc w:val="both"/>
        <w:rPr>
          <w:rFonts w:cs="Arial"/>
          <w:sz w:val="24"/>
          <w:szCs w:val="24"/>
        </w:rPr>
      </w:pPr>
    </w:p>
    <w:p w14:paraId="7E2A199B" w14:textId="77777777" w:rsidR="00196C9A" w:rsidRPr="00A13BB2" w:rsidRDefault="00196C9A" w:rsidP="00A13BB2">
      <w:pPr>
        <w:spacing w:line="360" w:lineRule="auto"/>
        <w:jc w:val="both"/>
        <w:rPr>
          <w:sz w:val="24"/>
          <w:szCs w:val="24"/>
        </w:rPr>
      </w:pPr>
    </w:p>
    <w:p w14:paraId="7306FC13" w14:textId="6334DDB3" w:rsidR="00DD2118" w:rsidRPr="00A13BB2" w:rsidRDefault="00DD2118" w:rsidP="00A13BB2">
      <w:pPr>
        <w:spacing w:line="360" w:lineRule="auto"/>
        <w:jc w:val="both"/>
        <w:rPr>
          <w:sz w:val="24"/>
          <w:szCs w:val="24"/>
        </w:rPr>
      </w:pPr>
      <w:r w:rsidRPr="00A13BB2">
        <w:rPr>
          <w:sz w:val="24"/>
          <w:szCs w:val="24"/>
        </w:rPr>
        <w:t>Ends</w:t>
      </w:r>
      <w:r w:rsidR="00C3579A" w:rsidRPr="00A13BB2">
        <w:rPr>
          <w:sz w:val="24"/>
          <w:szCs w:val="24"/>
        </w:rPr>
        <w:t>.</w:t>
      </w:r>
      <w:r w:rsidRPr="00A13BB2">
        <w:rPr>
          <w:sz w:val="24"/>
          <w:szCs w:val="24"/>
        </w:rPr>
        <w:t xml:space="preserve"> </w:t>
      </w:r>
    </w:p>
    <w:p w14:paraId="6E016002" w14:textId="0937CE62" w:rsidR="00DD2118" w:rsidRPr="00A13BB2" w:rsidRDefault="00DD2118" w:rsidP="00A13BB2">
      <w:pPr>
        <w:spacing w:line="360" w:lineRule="auto"/>
        <w:jc w:val="both"/>
        <w:rPr>
          <w:b/>
          <w:sz w:val="24"/>
          <w:szCs w:val="24"/>
        </w:rPr>
      </w:pPr>
      <w:r w:rsidRPr="00A13BB2">
        <w:rPr>
          <w:b/>
          <w:sz w:val="24"/>
          <w:szCs w:val="24"/>
        </w:rPr>
        <w:t xml:space="preserve">David Duffy (Education/Research Officer, TUI), </w:t>
      </w:r>
      <w:hyperlink r:id="rId8" w:history="1">
        <w:r w:rsidRPr="00A13BB2">
          <w:rPr>
            <w:rStyle w:val="Hyperlink"/>
            <w:b/>
            <w:color w:val="auto"/>
            <w:sz w:val="24"/>
            <w:szCs w:val="24"/>
          </w:rPr>
          <w:t>dduffy@tui.ie</w:t>
        </w:r>
      </w:hyperlink>
      <w:r w:rsidRPr="00A13BB2">
        <w:rPr>
          <w:b/>
          <w:sz w:val="24"/>
          <w:szCs w:val="24"/>
        </w:rPr>
        <w:t>, 01 4922588</w:t>
      </w:r>
      <w:r w:rsidR="00571CF8" w:rsidRPr="00A13BB2">
        <w:rPr>
          <w:b/>
          <w:sz w:val="24"/>
          <w:szCs w:val="24"/>
        </w:rPr>
        <w:t>.</w:t>
      </w:r>
    </w:p>
    <w:p w14:paraId="028C4655" w14:textId="77777777" w:rsidR="00DD2118" w:rsidRPr="00A13BB2" w:rsidRDefault="00DD2118" w:rsidP="00A13BB2">
      <w:pPr>
        <w:spacing w:line="360" w:lineRule="auto"/>
        <w:jc w:val="both"/>
        <w:rPr>
          <w:b/>
          <w:sz w:val="24"/>
          <w:szCs w:val="24"/>
        </w:rPr>
      </w:pPr>
      <w:r w:rsidRPr="00A13BB2">
        <w:rPr>
          <w:b/>
          <w:sz w:val="24"/>
          <w:szCs w:val="24"/>
        </w:rPr>
        <w:br w:type="page"/>
      </w:r>
    </w:p>
    <w:p w14:paraId="5433DE0F" w14:textId="1CEE71B1" w:rsidR="00DD2118" w:rsidRPr="00A13BB2" w:rsidRDefault="00DD2118" w:rsidP="00A13BB2">
      <w:pPr>
        <w:spacing w:line="360" w:lineRule="auto"/>
        <w:jc w:val="both"/>
        <w:rPr>
          <w:b/>
          <w:sz w:val="24"/>
          <w:szCs w:val="24"/>
        </w:rPr>
      </w:pPr>
      <w:r w:rsidRPr="00A13BB2">
        <w:rPr>
          <w:b/>
          <w:sz w:val="24"/>
          <w:szCs w:val="24"/>
        </w:rPr>
        <w:lastRenderedPageBreak/>
        <w:t>Glossary</w:t>
      </w:r>
    </w:p>
    <w:p w14:paraId="64DACF8C" w14:textId="5202954B" w:rsidR="00DD2118" w:rsidRPr="00A13BB2" w:rsidRDefault="00DD2118" w:rsidP="00A13BB2">
      <w:pPr>
        <w:spacing w:line="360" w:lineRule="auto"/>
        <w:jc w:val="both"/>
        <w:rPr>
          <w:sz w:val="24"/>
          <w:szCs w:val="24"/>
        </w:rPr>
      </w:pPr>
      <w:r w:rsidRPr="00A13BB2">
        <w:rPr>
          <w:sz w:val="24"/>
          <w:szCs w:val="24"/>
        </w:rPr>
        <w:t>C&amp;C</w:t>
      </w:r>
      <w:r w:rsidRPr="00A13BB2">
        <w:rPr>
          <w:sz w:val="24"/>
          <w:szCs w:val="24"/>
        </w:rPr>
        <w:tab/>
      </w:r>
      <w:r w:rsidRPr="00A13BB2">
        <w:rPr>
          <w:sz w:val="24"/>
          <w:szCs w:val="24"/>
        </w:rPr>
        <w:tab/>
        <w:t>Community and Comprehensive</w:t>
      </w:r>
    </w:p>
    <w:p w14:paraId="28B42240" w14:textId="77777777" w:rsidR="00DD2118" w:rsidRPr="00A13BB2" w:rsidRDefault="00DD2118" w:rsidP="00A13BB2">
      <w:pPr>
        <w:spacing w:line="360" w:lineRule="auto"/>
        <w:jc w:val="both"/>
        <w:rPr>
          <w:sz w:val="24"/>
          <w:szCs w:val="24"/>
        </w:rPr>
      </w:pPr>
      <w:r w:rsidRPr="00A13BB2">
        <w:rPr>
          <w:sz w:val="24"/>
          <w:szCs w:val="24"/>
        </w:rPr>
        <w:t>DES</w:t>
      </w:r>
      <w:r w:rsidRPr="00A13BB2">
        <w:rPr>
          <w:sz w:val="24"/>
          <w:szCs w:val="24"/>
        </w:rPr>
        <w:tab/>
      </w:r>
      <w:r w:rsidRPr="00A13BB2">
        <w:rPr>
          <w:sz w:val="24"/>
          <w:szCs w:val="24"/>
        </w:rPr>
        <w:tab/>
        <w:t>Department of Education and Skills</w:t>
      </w:r>
    </w:p>
    <w:p w14:paraId="2192C40C" w14:textId="1A93AD8E" w:rsidR="00DD2118" w:rsidRPr="00A13BB2" w:rsidRDefault="00DD2118" w:rsidP="00A13BB2">
      <w:pPr>
        <w:spacing w:line="360" w:lineRule="auto"/>
        <w:jc w:val="both"/>
        <w:rPr>
          <w:sz w:val="24"/>
          <w:szCs w:val="24"/>
        </w:rPr>
      </w:pPr>
      <w:r w:rsidRPr="00A13BB2">
        <w:rPr>
          <w:sz w:val="24"/>
          <w:szCs w:val="24"/>
        </w:rPr>
        <w:t>ETB</w:t>
      </w:r>
      <w:r w:rsidRPr="00A13BB2">
        <w:rPr>
          <w:sz w:val="24"/>
          <w:szCs w:val="24"/>
        </w:rPr>
        <w:tab/>
      </w:r>
      <w:r w:rsidRPr="00A13BB2">
        <w:rPr>
          <w:sz w:val="24"/>
          <w:szCs w:val="24"/>
        </w:rPr>
        <w:tab/>
        <w:t>Education and Training Board</w:t>
      </w:r>
    </w:p>
    <w:p w14:paraId="7C95E058" w14:textId="6CB2D186" w:rsidR="00196C9A" w:rsidRPr="00A13BB2" w:rsidRDefault="00196C9A" w:rsidP="00A13BB2">
      <w:pPr>
        <w:spacing w:line="360" w:lineRule="auto"/>
        <w:jc w:val="both"/>
        <w:rPr>
          <w:sz w:val="24"/>
          <w:szCs w:val="24"/>
        </w:rPr>
      </w:pPr>
      <w:r w:rsidRPr="00A13BB2">
        <w:rPr>
          <w:sz w:val="24"/>
          <w:szCs w:val="24"/>
        </w:rPr>
        <w:t>ESD</w:t>
      </w:r>
      <w:r w:rsidRPr="00A13BB2">
        <w:rPr>
          <w:sz w:val="24"/>
          <w:szCs w:val="24"/>
        </w:rPr>
        <w:tab/>
      </w:r>
      <w:r w:rsidRPr="00A13BB2">
        <w:rPr>
          <w:sz w:val="24"/>
          <w:szCs w:val="24"/>
        </w:rPr>
        <w:tab/>
        <w:t>Education for Sustainable Development</w:t>
      </w:r>
    </w:p>
    <w:p w14:paraId="1677CF30" w14:textId="6D65FC88" w:rsidR="00DD2118" w:rsidRPr="00A13BB2" w:rsidRDefault="00DD2118" w:rsidP="00A13BB2">
      <w:pPr>
        <w:spacing w:line="360" w:lineRule="auto"/>
        <w:jc w:val="both"/>
        <w:rPr>
          <w:sz w:val="24"/>
          <w:szCs w:val="24"/>
        </w:rPr>
      </w:pPr>
      <w:r w:rsidRPr="00A13BB2">
        <w:rPr>
          <w:sz w:val="24"/>
          <w:szCs w:val="24"/>
        </w:rPr>
        <w:t>EU</w:t>
      </w:r>
      <w:r w:rsidRPr="00A13BB2">
        <w:rPr>
          <w:sz w:val="24"/>
          <w:szCs w:val="24"/>
        </w:rPr>
        <w:tab/>
      </w:r>
      <w:r w:rsidRPr="00A13BB2">
        <w:rPr>
          <w:sz w:val="24"/>
          <w:szCs w:val="24"/>
        </w:rPr>
        <w:tab/>
        <w:t>European Union</w:t>
      </w:r>
    </w:p>
    <w:p w14:paraId="1E41D5F6" w14:textId="5D32CE6C" w:rsidR="007B5316" w:rsidRPr="00A13BB2" w:rsidRDefault="007B5316" w:rsidP="00A13BB2">
      <w:pPr>
        <w:spacing w:line="360" w:lineRule="auto"/>
        <w:jc w:val="both"/>
        <w:rPr>
          <w:sz w:val="24"/>
          <w:szCs w:val="24"/>
        </w:rPr>
      </w:pPr>
      <w:r w:rsidRPr="00A13BB2">
        <w:rPr>
          <w:sz w:val="24"/>
          <w:szCs w:val="24"/>
        </w:rPr>
        <w:t>ICT</w:t>
      </w:r>
      <w:r w:rsidR="00196C9A" w:rsidRPr="00A13BB2">
        <w:rPr>
          <w:sz w:val="24"/>
          <w:szCs w:val="24"/>
        </w:rPr>
        <w:t>U</w:t>
      </w:r>
      <w:r w:rsidRPr="00A13BB2">
        <w:rPr>
          <w:sz w:val="24"/>
          <w:szCs w:val="24"/>
        </w:rPr>
        <w:tab/>
      </w:r>
      <w:r w:rsidRPr="00A13BB2">
        <w:rPr>
          <w:sz w:val="24"/>
          <w:szCs w:val="24"/>
        </w:rPr>
        <w:tab/>
      </w:r>
      <w:r w:rsidR="00196C9A" w:rsidRPr="00A13BB2">
        <w:rPr>
          <w:sz w:val="24"/>
          <w:szCs w:val="24"/>
        </w:rPr>
        <w:t>Irish Congress of Trade Unions</w:t>
      </w:r>
    </w:p>
    <w:p w14:paraId="7DCCE645" w14:textId="50E43BAC" w:rsidR="005B5A92" w:rsidRPr="00A13BB2" w:rsidRDefault="005B5A92" w:rsidP="00A13BB2">
      <w:pPr>
        <w:spacing w:line="360" w:lineRule="auto"/>
        <w:jc w:val="both"/>
        <w:rPr>
          <w:sz w:val="24"/>
          <w:szCs w:val="24"/>
        </w:rPr>
      </w:pPr>
      <w:r w:rsidRPr="00A13BB2">
        <w:rPr>
          <w:sz w:val="24"/>
          <w:szCs w:val="24"/>
        </w:rPr>
        <w:t>NCCA</w:t>
      </w:r>
      <w:r w:rsidRPr="00A13BB2">
        <w:rPr>
          <w:sz w:val="24"/>
          <w:szCs w:val="24"/>
        </w:rPr>
        <w:tab/>
      </w:r>
      <w:r w:rsidRPr="00A13BB2">
        <w:rPr>
          <w:sz w:val="24"/>
          <w:szCs w:val="24"/>
        </w:rPr>
        <w:tab/>
        <w:t>National Council for Curriculum and Assessment</w:t>
      </w:r>
    </w:p>
    <w:p w14:paraId="30291D38" w14:textId="16EA8B5B" w:rsidR="005B5A92" w:rsidRPr="00A13BB2" w:rsidRDefault="005B5A92" w:rsidP="00A13BB2">
      <w:pPr>
        <w:spacing w:line="360" w:lineRule="auto"/>
        <w:jc w:val="both"/>
        <w:rPr>
          <w:sz w:val="24"/>
          <w:szCs w:val="24"/>
        </w:rPr>
      </w:pPr>
      <w:r w:rsidRPr="00A13BB2">
        <w:rPr>
          <w:sz w:val="24"/>
          <w:szCs w:val="24"/>
        </w:rPr>
        <w:t>SDG</w:t>
      </w:r>
      <w:r w:rsidRPr="00A13BB2">
        <w:rPr>
          <w:sz w:val="24"/>
          <w:szCs w:val="24"/>
        </w:rPr>
        <w:tab/>
      </w:r>
      <w:r w:rsidRPr="00A13BB2">
        <w:rPr>
          <w:sz w:val="24"/>
          <w:szCs w:val="24"/>
        </w:rPr>
        <w:tab/>
        <w:t>Sustainable Development Goals</w:t>
      </w:r>
    </w:p>
    <w:p w14:paraId="62D30C10" w14:textId="3CF8CEFA" w:rsidR="00DD2118" w:rsidRPr="00A13BB2" w:rsidRDefault="00E13D21" w:rsidP="00A13BB2">
      <w:pPr>
        <w:spacing w:line="360" w:lineRule="auto"/>
        <w:jc w:val="both"/>
        <w:rPr>
          <w:b/>
          <w:sz w:val="24"/>
          <w:szCs w:val="24"/>
        </w:rPr>
      </w:pPr>
      <w:r w:rsidRPr="00A13BB2">
        <w:rPr>
          <w:sz w:val="24"/>
          <w:szCs w:val="24"/>
        </w:rPr>
        <w:t>TUI</w:t>
      </w:r>
      <w:r w:rsidRPr="00A13BB2">
        <w:rPr>
          <w:sz w:val="24"/>
          <w:szCs w:val="24"/>
        </w:rPr>
        <w:tab/>
      </w:r>
      <w:r w:rsidRPr="00A13BB2">
        <w:rPr>
          <w:sz w:val="24"/>
          <w:szCs w:val="24"/>
        </w:rPr>
        <w:tab/>
        <w:t>Teachers’ Union of Ireland</w:t>
      </w:r>
      <w:r w:rsidR="00DD2118" w:rsidRPr="00A13BB2">
        <w:rPr>
          <w:b/>
          <w:sz w:val="24"/>
          <w:szCs w:val="24"/>
        </w:rPr>
        <w:br w:type="page"/>
      </w:r>
    </w:p>
    <w:p w14:paraId="5582A338" w14:textId="77777777" w:rsidR="00DD2118" w:rsidRPr="00A13BB2" w:rsidRDefault="00DD2118" w:rsidP="00A13BB2">
      <w:pPr>
        <w:spacing w:line="360" w:lineRule="auto"/>
        <w:jc w:val="both"/>
        <w:rPr>
          <w:b/>
          <w:sz w:val="24"/>
          <w:szCs w:val="24"/>
          <w:u w:val="single"/>
        </w:rPr>
      </w:pPr>
      <w:r w:rsidRPr="00A13BB2">
        <w:rPr>
          <w:b/>
          <w:sz w:val="24"/>
          <w:szCs w:val="24"/>
          <w:u w:val="single"/>
        </w:rPr>
        <w:lastRenderedPageBreak/>
        <w:t>References</w:t>
      </w:r>
    </w:p>
    <w:p w14:paraId="57AA7CE3" w14:textId="77777777" w:rsidR="00147652" w:rsidRPr="00A13BB2" w:rsidRDefault="00147652" w:rsidP="00A13BB2">
      <w:pPr>
        <w:autoSpaceDE w:val="0"/>
        <w:autoSpaceDN w:val="0"/>
        <w:adjustRightInd w:val="0"/>
        <w:spacing w:after="0" w:line="360" w:lineRule="auto"/>
        <w:jc w:val="both"/>
        <w:rPr>
          <w:sz w:val="24"/>
          <w:szCs w:val="24"/>
        </w:rPr>
      </w:pPr>
      <w:r w:rsidRPr="00A13BB2">
        <w:rPr>
          <w:sz w:val="24"/>
          <w:szCs w:val="24"/>
        </w:rPr>
        <w:t xml:space="preserve">Abrahamson, E. (2004). </w:t>
      </w:r>
      <w:r w:rsidRPr="00A13BB2">
        <w:rPr>
          <w:i/>
          <w:iCs/>
          <w:sz w:val="24"/>
          <w:szCs w:val="24"/>
        </w:rPr>
        <w:t>Change Without Pain</w:t>
      </w:r>
      <w:r w:rsidRPr="00A13BB2">
        <w:rPr>
          <w:sz w:val="24"/>
          <w:szCs w:val="24"/>
        </w:rPr>
        <w:t xml:space="preserve">. Boston: Harvard Business School Press </w:t>
      </w:r>
    </w:p>
    <w:p w14:paraId="346F1829" w14:textId="1BF33316" w:rsidR="00DD2118" w:rsidRPr="00A13BB2" w:rsidRDefault="00DD2118" w:rsidP="00A13BB2">
      <w:pPr>
        <w:autoSpaceDE w:val="0"/>
        <w:autoSpaceDN w:val="0"/>
        <w:adjustRightInd w:val="0"/>
        <w:spacing w:after="0" w:line="360" w:lineRule="auto"/>
        <w:jc w:val="both"/>
        <w:rPr>
          <w:rFonts w:cs="Arial"/>
          <w:sz w:val="24"/>
          <w:szCs w:val="24"/>
        </w:rPr>
      </w:pPr>
      <w:r w:rsidRPr="00A13BB2">
        <w:rPr>
          <w:rFonts w:cs="Arial"/>
          <w:sz w:val="24"/>
          <w:szCs w:val="24"/>
        </w:rPr>
        <w:t xml:space="preserve">Boyle (2017), </w:t>
      </w:r>
      <w:r w:rsidRPr="00A13BB2">
        <w:rPr>
          <w:rFonts w:cs="Arial"/>
          <w:i/>
          <w:sz w:val="24"/>
          <w:szCs w:val="24"/>
        </w:rPr>
        <w:t>Public Sector Trends 2017</w:t>
      </w:r>
      <w:r w:rsidRPr="00A13BB2">
        <w:rPr>
          <w:rFonts w:cs="Arial"/>
          <w:sz w:val="24"/>
          <w:szCs w:val="24"/>
        </w:rPr>
        <w:t>, Dublin: Institute of Public Administration</w:t>
      </w:r>
    </w:p>
    <w:p w14:paraId="53C5230B" w14:textId="77777777" w:rsidR="005C356F" w:rsidRPr="00A13BB2" w:rsidRDefault="005C356F" w:rsidP="00A13BB2">
      <w:pPr>
        <w:spacing w:line="360" w:lineRule="auto"/>
        <w:jc w:val="both"/>
        <w:rPr>
          <w:rFonts w:cs="Arial"/>
          <w:sz w:val="24"/>
          <w:szCs w:val="24"/>
        </w:rPr>
      </w:pPr>
      <w:r w:rsidRPr="00A13BB2">
        <w:rPr>
          <w:rFonts w:cs="Arial"/>
          <w:sz w:val="24"/>
          <w:szCs w:val="24"/>
        </w:rPr>
        <w:t xml:space="preserve">Central Bank (2018), </w:t>
      </w:r>
      <w:r w:rsidRPr="00A13BB2">
        <w:rPr>
          <w:rFonts w:cs="Arial"/>
          <w:i/>
          <w:sz w:val="24"/>
          <w:szCs w:val="24"/>
        </w:rPr>
        <w:t>Macro-Financial Review</w:t>
      </w:r>
      <w:r w:rsidRPr="00A13BB2">
        <w:rPr>
          <w:rFonts w:cs="Arial"/>
          <w:sz w:val="24"/>
          <w:szCs w:val="24"/>
        </w:rPr>
        <w:t xml:space="preserve">, Dublin: Central Bank of Ireland </w:t>
      </w:r>
    </w:p>
    <w:p w14:paraId="5B393A08" w14:textId="77777777" w:rsidR="00DD2118" w:rsidRPr="00A13BB2" w:rsidRDefault="00DD2118" w:rsidP="00A13BB2">
      <w:pPr>
        <w:spacing w:after="200" w:line="360" w:lineRule="auto"/>
        <w:jc w:val="both"/>
        <w:rPr>
          <w:rFonts w:cs="Arial"/>
          <w:sz w:val="24"/>
          <w:szCs w:val="24"/>
        </w:rPr>
      </w:pPr>
      <w:r w:rsidRPr="00A13BB2">
        <w:rPr>
          <w:rFonts w:cs="Arial"/>
          <w:sz w:val="24"/>
          <w:szCs w:val="24"/>
        </w:rPr>
        <w:t xml:space="preserve">Comhairle na nOg (2017), </w:t>
      </w:r>
      <w:r w:rsidRPr="00A13BB2">
        <w:rPr>
          <w:rFonts w:cs="Arial"/>
          <w:i/>
          <w:sz w:val="24"/>
          <w:szCs w:val="24"/>
        </w:rPr>
        <w:t>So, How Was School Today?</w:t>
      </w:r>
      <w:r w:rsidRPr="00A13BB2">
        <w:rPr>
          <w:rFonts w:cs="Arial"/>
          <w:sz w:val="24"/>
          <w:szCs w:val="24"/>
        </w:rPr>
        <w:t xml:space="preserve"> Dublin: Department of Children and Youth Affairs </w:t>
      </w:r>
    </w:p>
    <w:p w14:paraId="5A9FE9B7" w14:textId="77777777" w:rsidR="00DD2118" w:rsidRPr="00A13BB2" w:rsidRDefault="00DD2118" w:rsidP="00A13BB2">
      <w:pPr>
        <w:spacing w:line="360" w:lineRule="auto"/>
        <w:jc w:val="both"/>
        <w:rPr>
          <w:sz w:val="24"/>
          <w:szCs w:val="24"/>
        </w:rPr>
      </w:pPr>
      <w:r w:rsidRPr="00A13BB2">
        <w:rPr>
          <w:rFonts w:cs="Arial"/>
          <w:sz w:val="24"/>
          <w:szCs w:val="24"/>
        </w:rPr>
        <w:t xml:space="preserve">CSO (2009), </w:t>
      </w:r>
      <w:r w:rsidRPr="00A13BB2">
        <w:rPr>
          <w:rFonts w:cs="Arial"/>
          <w:i/>
          <w:sz w:val="24"/>
          <w:szCs w:val="24"/>
        </w:rPr>
        <w:t>Children and Young People in Ireland 2008</w:t>
      </w:r>
      <w:r w:rsidRPr="00A13BB2">
        <w:rPr>
          <w:rFonts w:cs="Arial"/>
          <w:sz w:val="24"/>
          <w:szCs w:val="24"/>
        </w:rPr>
        <w:t>, Cork: Central Statistics Office</w:t>
      </w:r>
      <w:r w:rsidRPr="00A13BB2">
        <w:rPr>
          <w:sz w:val="24"/>
          <w:szCs w:val="24"/>
        </w:rPr>
        <w:t xml:space="preserve"> </w:t>
      </w:r>
    </w:p>
    <w:p w14:paraId="43D6094A" w14:textId="77777777" w:rsidR="00DD2118" w:rsidRPr="00A13BB2" w:rsidRDefault="00DD2118" w:rsidP="00A13BB2">
      <w:pPr>
        <w:spacing w:line="360" w:lineRule="auto"/>
        <w:jc w:val="both"/>
        <w:rPr>
          <w:sz w:val="24"/>
          <w:szCs w:val="24"/>
        </w:rPr>
      </w:pPr>
      <w:r w:rsidRPr="00A13BB2">
        <w:rPr>
          <w:sz w:val="24"/>
          <w:szCs w:val="24"/>
        </w:rPr>
        <w:t xml:space="preserve">CSO (2017), </w:t>
      </w:r>
      <w:r w:rsidRPr="00A13BB2">
        <w:rPr>
          <w:i/>
          <w:sz w:val="24"/>
          <w:szCs w:val="24"/>
        </w:rPr>
        <w:t>Vital Statistics Yearly Summary 2016</w:t>
      </w:r>
      <w:r w:rsidRPr="00A13BB2">
        <w:rPr>
          <w:sz w:val="24"/>
          <w:szCs w:val="24"/>
        </w:rPr>
        <w:t>, Cork: Central Statistics Office</w:t>
      </w:r>
    </w:p>
    <w:p w14:paraId="3237EE3F" w14:textId="77777777" w:rsidR="00DD2118" w:rsidRPr="00A13BB2" w:rsidRDefault="00DD2118" w:rsidP="00A13BB2">
      <w:pPr>
        <w:autoSpaceDE w:val="0"/>
        <w:autoSpaceDN w:val="0"/>
        <w:adjustRightInd w:val="0"/>
        <w:spacing w:after="0" w:line="360" w:lineRule="auto"/>
        <w:jc w:val="both"/>
        <w:rPr>
          <w:sz w:val="24"/>
          <w:szCs w:val="24"/>
        </w:rPr>
      </w:pPr>
      <w:r w:rsidRPr="00A13BB2">
        <w:rPr>
          <w:sz w:val="24"/>
          <w:szCs w:val="24"/>
        </w:rPr>
        <w:t xml:space="preserve">DES (2012), </w:t>
      </w:r>
      <w:r w:rsidRPr="00A13BB2">
        <w:rPr>
          <w:i/>
          <w:sz w:val="24"/>
          <w:szCs w:val="24"/>
        </w:rPr>
        <w:t>Projections of Full-Time Enrolment: Primary and Second Level 2012-2030</w:t>
      </w:r>
      <w:r w:rsidRPr="00A13BB2">
        <w:rPr>
          <w:sz w:val="24"/>
          <w:szCs w:val="24"/>
        </w:rPr>
        <w:t>, Dublin: Department of Education and Skills</w:t>
      </w:r>
    </w:p>
    <w:p w14:paraId="176AFFF6" w14:textId="479E12E6" w:rsidR="008132E9" w:rsidRPr="00A13BB2" w:rsidRDefault="008132E9" w:rsidP="00A13BB2">
      <w:pPr>
        <w:autoSpaceDE w:val="0"/>
        <w:autoSpaceDN w:val="0"/>
        <w:adjustRightInd w:val="0"/>
        <w:spacing w:after="0" w:line="360" w:lineRule="auto"/>
        <w:jc w:val="both"/>
        <w:rPr>
          <w:sz w:val="24"/>
          <w:szCs w:val="24"/>
        </w:rPr>
      </w:pPr>
      <w:r w:rsidRPr="00A13BB2">
        <w:rPr>
          <w:sz w:val="24"/>
          <w:szCs w:val="24"/>
        </w:rPr>
        <w:t xml:space="preserve">DES (2015), </w:t>
      </w:r>
      <w:r w:rsidRPr="00A13BB2">
        <w:rPr>
          <w:i/>
          <w:sz w:val="24"/>
          <w:szCs w:val="24"/>
        </w:rPr>
        <w:t>Projections of Demand for Full Time Third Level Education 2015-2029</w:t>
      </w:r>
      <w:r w:rsidRPr="00A13BB2">
        <w:rPr>
          <w:sz w:val="24"/>
          <w:szCs w:val="24"/>
        </w:rPr>
        <w:t>, Dublin: Department of Education and Skills</w:t>
      </w:r>
    </w:p>
    <w:p w14:paraId="08625956" w14:textId="798A9307" w:rsidR="00DD2118" w:rsidRPr="00A13BB2" w:rsidRDefault="002B7C4F" w:rsidP="00A13BB2">
      <w:pPr>
        <w:autoSpaceDE w:val="0"/>
        <w:autoSpaceDN w:val="0"/>
        <w:adjustRightInd w:val="0"/>
        <w:spacing w:after="0" w:line="360" w:lineRule="auto"/>
        <w:jc w:val="both"/>
        <w:rPr>
          <w:sz w:val="24"/>
          <w:szCs w:val="24"/>
        </w:rPr>
      </w:pPr>
      <w:r w:rsidRPr="00A13BB2">
        <w:rPr>
          <w:sz w:val="24"/>
          <w:szCs w:val="24"/>
        </w:rPr>
        <w:t>DES (2017</w:t>
      </w:r>
      <w:r w:rsidR="00DD2118" w:rsidRPr="00A13BB2">
        <w:rPr>
          <w:sz w:val="24"/>
          <w:szCs w:val="24"/>
        </w:rPr>
        <w:t xml:space="preserve">), </w:t>
      </w:r>
      <w:r w:rsidR="00DD2118" w:rsidRPr="00A13BB2">
        <w:rPr>
          <w:i/>
          <w:sz w:val="24"/>
          <w:szCs w:val="24"/>
        </w:rPr>
        <w:t>Projections of Full-Time Enrolment: Primary and Second Level 2017-2035</w:t>
      </w:r>
      <w:r w:rsidR="00DD2118" w:rsidRPr="00A13BB2">
        <w:rPr>
          <w:sz w:val="24"/>
          <w:szCs w:val="24"/>
        </w:rPr>
        <w:t>, Dublin: Department of Education and Skills</w:t>
      </w:r>
    </w:p>
    <w:p w14:paraId="4009F6CF" w14:textId="732006DB" w:rsidR="00DD2118" w:rsidRPr="00A13BB2" w:rsidRDefault="00DD2118" w:rsidP="00A13BB2">
      <w:pPr>
        <w:spacing w:line="360" w:lineRule="auto"/>
        <w:jc w:val="both"/>
        <w:rPr>
          <w:rFonts w:cs="Arial"/>
          <w:sz w:val="24"/>
          <w:szCs w:val="24"/>
        </w:rPr>
      </w:pPr>
      <w:r w:rsidRPr="00A13BB2">
        <w:rPr>
          <w:sz w:val="24"/>
          <w:szCs w:val="24"/>
        </w:rPr>
        <w:t>DES (2018</w:t>
      </w:r>
      <w:r w:rsidR="0098067E" w:rsidRPr="00A13BB2">
        <w:rPr>
          <w:sz w:val="24"/>
          <w:szCs w:val="24"/>
        </w:rPr>
        <w:t>a</w:t>
      </w:r>
      <w:r w:rsidRPr="00A13BB2">
        <w:rPr>
          <w:sz w:val="24"/>
          <w:szCs w:val="24"/>
        </w:rPr>
        <w:t xml:space="preserve">), </w:t>
      </w:r>
      <w:r w:rsidRPr="00A13BB2">
        <w:rPr>
          <w:i/>
          <w:sz w:val="24"/>
          <w:szCs w:val="24"/>
        </w:rPr>
        <w:t>Chief Inspector’s Report 2013-2016</w:t>
      </w:r>
      <w:r w:rsidRPr="00A13BB2">
        <w:rPr>
          <w:sz w:val="24"/>
          <w:szCs w:val="24"/>
        </w:rPr>
        <w:t>, Dublin: Department of Education and Skills Inspectorate</w:t>
      </w:r>
      <w:r w:rsidRPr="00A13BB2">
        <w:rPr>
          <w:rFonts w:cs="Arial"/>
          <w:sz w:val="24"/>
          <w:szCs w:val="24"/>
        </w:rPr>
        <w:t xml:space="preserve"> </w:t>
      </w:r>
    </w:p>
    <w:p w14:paraId="5A0FA928" w14:textId="77777777" w:rsidR="0098067E" w:rsidRPr="00A13BB2" w:rsidRDefault="0098067E" w:rsidP="00A13BB2">
      <w:pPr>
        <w:spacing w:line="360" w:lineRule="auto"/>
        <w:jc w:val="both"/>
        <w:rPr>
          <w:rFonts w:cs="Arial"/>
          <w:sz w:val="24"/>
          <w:szCs w:val="24"/>
        </w:rPr>
      </w:pPr>
      <w:r w:rsidRPr="00A13BB2">
        <w:rPr>
          <w:sz w:val="24"/>
          <w:szCs w:val="24"/>
        </w:rPr>
        <w:t xml:space="preserve">DES (2018b), </w:t>
      </w:r>
      <w:r w:rsidRPr="00A13BB2">
        <w:rPr>
          <w:i/>
          <w:sz w:val="24"/>
          <w:szCs w:val="24"/>
        </w:rPr>
        <w:t xml:space="preserve">Opening Statement to the Joint </w:t>
      </w:r>
      <w:proofErr w:type="spellStart"/>
      <w:r w:rsidRPr="00A13BB2">
        <w:rPr>
          <w:i/>
          <w:sz w:val="24"/>
          <w:szCs w:val="24"/>
        </w:rPr>
        <w:t>Oireachtas</w:t>
      </w:r>
      <w:proofErr w:type="spellEnd"/>
      <w:r w:rsidRPr="00A13BB2">
        <w:rPr>
          <w:i/>
          <w:sz w:val="24"/>
          <w:szCs w:val="24"/>
        </w:rPr>
        <w:t xml:space="preserve"> Committee on Education and Skills, </w:t>
      </w:r>
      <w:r w:rsidRPr="00A13BB2">
        <w:rPr>
          <w:sz w:val="24"/>
          <w:szCs w:val="24"/>
        </w:rPr>
        <w:t>August 29</w:t>
      </w:r>
      <w:r w:rsidRPr="00A13BB2">
        <w:rPr>
          <w:sz w:val="24"/>
          <w:szCs w:val="24"/>
          <w:vertAlign w:val="superscript"/>
        </w:rPr>
        <w:t>th</w:t>
      </w:r>
      <w:proofErr w:type="gramStart"/>
      <w:r w:rsidRPr="00A13BB2">
        <w:rPr>
          <w:sz w:val="24"/>
          <w:szCs w:val="24"/>
        </w:rPr>
        <w:t xml:space="preserve"> 2018</w:t>
      </w:r>
      <w:proofErr w:type="gramEnd"/>
      <w:r w:rsidRPr="00A13BB2">
        <w:rPr>
          <w:rFonts w:cs="Arial"/>
          <w:sz w:val="24"/>
          <w:szCs w:val="24"/>
        </w:rPr>
        <w:t xml:space="preserve"> </w:t>
      </w:r>
    </w:p>
    <w:p w14:paraId="18A2A6D6" w14:textId="4C8701B6" w:rsidR="009C794E" w:rsidRPr="00A13BB2" w:rsidRDefault="009C794E" w:rsidP="00A13BB2">
      <w:pPr>
        <w:spacing w:line="360" w:lineRule="auto"/>
        <w:jc w:val="both"/>
        <w:rPr>
          <w:rFonts w:cs="Arial"/>
          <w:sz w:val="24"/>
          <w:szCs w:val="24"/>
        </w:rPr>
      </w:pPr>
      <w:r w:rsidRPr="00A13BB2">
        <w:rPr>
          <w:rFonts w:cs="Arial"/>
          <w:sz w:val="24"/>
          <w:szCs w:val="24"/>
        </w:rPr>
        <w:t>DP</w:t>
      </w:r>
      <w:r w:rsidR="00D94643" w:rsidRPr="00A13BB2">
        <w:rPr>
          <w:rFonts w:cs="Arial"/>
          <w:sz w:val="24"/>
          <w:szCs w:val="24"/>
        </w:rPr>
        <w:t xml:space="preserve">ER (2018), </w:t>
      </w:r>
      <w:r w:rsidR="00D94643" w:rsidRPr="00A13BB2">
        <w:rPr>
          <w:rFonts w:cs="Arial"/>
          <w:i/>
          <w:sz w:val="24"/>
          <w:szCs w:val="24"/>
        </w:rPr>
        <w:t>Spending Review 2018:</w:t>
      </w:r>
      <w:r w:rsidRPr="00A13BB2">
        <w:rPr>
          <w:rFonts w:cs="Arial"/>
          <w:i/>
          <w:sz w:val="24"/>
          <w:szCs w:val="24"/>
        </w:rPr>
        <w:t xml:space="preserve"> Pay Expenditure Drivers at Primary and Second Level</w:t>
      </w:r>
      <w:r w:rsidRPr="00A13BB2">
        <w:rPr>
          <w:rFonts w:cs="Arial"/>
          <w:sz w:val="24"/>
          <w:szCs w:val="24"/>
        </w:rPr>
        <w:t>, Dublin: Department of Public Expenditure a</w:t>
      </w:r>
      <w:r w:rsidR="00C3579A" w:rsidRPr="00A13BB2">
        <w:rPr>
          <w:rFonts w:cs="Arial"/>
          <w:sz w:val="24"/>
          <w:szCs w:val="24"/>
        </w:rPr>
        <w:t>n</w:t>
      </w:r>
      <w:r w:rsidRPr="00A13BB2">
        <w:rPr>
          <w:rFonts w:cs="Arial"/>
          <w:sz w:val="24"/>
          <w:szCs w:val="24"/>
        </w:rPr>
        <w:t>d Reform</w:t>
      </w:r>
    </w:p>
    <w:p w14:paraId="3D5B66EA" w14:textId="77777777" w:rsidR="005C356F" w:rsidRPr="00A13BB2" w:rsidRDefault="005C356F" w:rsidP="00A13BB2">
      <w:pPr>
        <w:spacing w:line="360" w:lineRule="auto"/>
        <w:jc w:val="both"/>
        <w:rPr>
          <w:rFonts w:cs="Arial"/>
          <w:sz w:val="24"/>
          <w:szCs w:val="24"/>
        </w:rPr>
      </w:pPr>
      <w:r w:rsidRPr="00A13BB2">
        <w:rPr>
          <w:rFonts w:cs="Arial"/>
          <w:sz w:val="24"/>
          <w:szCs w:val="24"/>
        </w:rPr>
        <w:t xml:space="preserve">ESRI (2018), </w:t>
      </w:r>
      <w:r w:rsidRPr="00A13BB2">
        <w:rPr>
          <w:rFonts w:cs="Arial"/>
          <w:i/>
          <w:sz w:val="24"/>
          <w:szCs w:val="24"/>
        </w:rPr>
        <w:t>Quarterly Economic Commentary, Summer 2018</w:t>
      </w:r>
      <w:r w:rsidRPr="00A13BB2">
        <w:rPr>
          <w:rFonts w:cs="Arial"/>
          <w:sz w:val="24"/>
          <w:szCs w:val="24"/>
        </w:rPr>
        <w:t>, Dublin: Economic and Social Research Institute</w:t>
      </w:r>
    </w:p>
    <w:p w14:paraId="02158A0A" w14:textId="77777777" w:rsidR="009E0809" w:rsidRPr="00A13BB2" w:rsidRDefault="009E0809" w:rsidP="00A13BB2">
      <w:pPr>
        <w:autoSpaceDE w:val="0"/>
        <w:autoSpaceDN w:val="0"/>
        <w:adjustRightInd w:val="0"/>
        <w:spacing w:after="0" w:line="360" w:lineRule="auto"/>
        <w:jc w:val="both"/>
        <w:rPr>
          <w:rFonts w:eastAsia="BrandonGrotesque-Regular" w:cs="Arial"/>
          <w:sz w:val="24"/>
          <w:szCs w:val="24"/>
        </w:rPr>
      </w:pPr>
      <w:r w:rsidRPr="00A13BB2">
        <w:rPr>
          <w:rFonts w:eastAsia="BrandonGrotesque-Regular" w:cs="Arial"/>
          <w:sz w:val="24"/>
          <w:szCs w:val="24"/>
        </w:rPr>
        <w:t xml:space="preserve">EU Commission (2018), </w:t>
      </w:r>
      <w:r w:rsidRPr="00A13BB2">
        <w:rPr>
          <w:rFonts w:eastAsia="BrandonGrotesque-Regular" w:cs="Arial"/>
          <w:i/>
          <w:sz w:val="24"/>
          <w:szCs w:val="24"/>
        </w:rPr>
        <w:t>Labour Market Policy Thematic Review 2018</w:t>
      </w:r>
      <w:r w:rsidRPr="00A13BB2">
        <w:rPr>
          <w:rFonts w:eastAsia="BrandonGrotesque-Regular" w:cs="Arial"/>
          <w:sz w:val="24"/>
          <w:szCs w:val="24"/>
        </w:rPr>
        <w:t>, Luxembourg: Publications Office of the European Union</w:t>
      </w:r>
    </w:p>
    <w:p w14:paraId="274CF435" w14:textId="77777777" w:rsidR="00DD2118" w:rsidRPr="00A13BB2" w:rsidRDefault="00DD2118" w:rsidP="00A13BB2">
      <w:pPr>
        <w:autoSpaceDE w:val="0"/>
        <w:autoSpaceDN w:val="0"/>
        <w:adjustRightInd w:val="0"/>
        <w:spacing w:after="0" w:line="360" w:lineRule="auto"/>
        <w:jc w:val="both"/>
        <w:rPr>
          <w:rFonts w:eastAsia="BrandonGrotesque-Regular" w:cs="Arial"/>
          <w:sz w:val="24"/>
          <w:szCs w:val="24"/>
        </w:rPr>
      </w:pPr>
      <w:r w:rsidRPr="00A13BB2">
        <w:rPr>
          <w:rFonts w:eastAsia="BrandonGrotesque-Regular" w:cs="Arial"/>
          <w:sz w:val="24"/>
          <w:szCs w:val="24"/>
        </w:rPr>
        <w:t xml:space="preserve">EU Commission (2017), </w:t>
      </w:r>
      <w:r w:rsidRPr="00A13BB2">
        <w:rPr>
          <w:rFonts w:eastAsia="BrandonGrotesque-Regular" w:cs="Arial"/>
          <w:i/>
          <w:sz w:val="24"/>
          <w:szCs w:val="24"/>
        </w:rPr>
        <w:t>Education and Training Monitor 2017 Ireland</w:t>
      </w:r>
      <w:r w:rsidRPr="00A13BB2">
        <w:rPr>
          <w:rFonts w:eastAsia="BrandonGrotesque-Regular" w:cs="Arial"/>
          <w:sz w:val="24"/>
          <w:szCs w:val="24"/>
        </w:rPr>
        <w:t>, Luxembourg: Publications Office of the European Union</w:t>
      </w:r>
    </w:p>
    <w:p w14:paraId="163BE792" w14:textId="77777777" w:rsidR="00AB4A4D" w:rsidRPr="00A13BB2" w:rsidRDefault="00AB4A4D" w:rsidP="00A13BB2">
      <w:pPr>
        <w:spacing w:line="360" w:lineRule="auto"/>
        <w:jc w:val="both"/>
        <w:rPr>
          <w:sz w:val="24"/>
          <w:szCs w:val="24"/>
        </w:rPr>
      </w:pPr>
      <w:r w:rsidRPr="00A13BB2">
        <w:rPr>
          <w:rFonts w:cs="Arial"/>
          <w:sz w:val="24"/>
          <w:szCs w:val="24"/>
        </w:rPr>
        <w:lastRenderedPageBreak/>
        <w:t xml:space="preserve">EU Commission / EACEA / Eurydice (2018), </w:t>
      </w:r>
      <w:r w:rsidRPr="00A13BB2">
        <w:rPr>
          <w:rFonts w:cs="Arial"/>
          <w:i/>
          <w:sz w:val="24"/>
          <w:szCs w:val="24"/>
        </w:rPr>
        <w:t>The European Higher Education Area in 2018: Bologna process implementation report</w:t>
      </w:r>
      <w:r w:rsidRPr="00A13BB2">
        <w:rPr>
          <w:rFonts w:cs="Arial"/>
          <w:sz w:val="24"/>
          <w:szCs w:val="24"/>
        </w:rPr>
        <w:t>, Luxembourg: Publications Office of the European Union</w:t>
      </w:r>
      <w:r w:rsidRPr="00A13BB2">
        <w:rPr>
          <w:sz w:val="24"/>
          <w:szCs w:val="24"/>
        </w:rPr>
        <w:t xml:space="preserve"> </w:t>
      </w:r>
    </w:p>
    <w:p w14:paraId="4E414A87" w14:textId="3B6469CE" w:rsidR="00DD2118" w:rsidRPr="00A13BB2" w:rsidRDefault="00DD2118" w:rsidP="00A13BB2">
      <w:pPr>
        <w:spacing w:line="360" w:lineRule="auto"/>
        <w:jc w:val="both"/>
        <w:rPr>
          <w:sz w:val="24"/>
          <w:szCs w:val="24"/>
        </w:rPr>
      </w:pPr>
      <w:r w:rsidRPr="00A13BB2">
        <w:rPr>
          <w:sz w:val="24"/>
          <w:szCs w:val="24"/>
        </w:rPr>
        <w:t xml:space="preserve">Eurostat (2015), </w:t>
      </w:r>
      <w:r w:rsidRPr="00A13BB2">
        <w:rPr>
          <w:i/>
          <w:sz w:val="24"/>
          <w:szCs w:val="24"/>
        </w:rPr>
        <w:t>Being Young in Europe Today</w:t>
      </w:r>
      <w:r w:rsidRPr="00A13BB2">
        <w:rPr>
          <w:sz w:val="24"/>
          <w:szCs w:val="24"/>
        </w:rPr>
        <w:t>, Luxembourg: Publications Office of the European Union</w:t>
      </w:r>
    </w:p>
    <w:p w14:paraId="39D4FC81" w14:textId="77777777" w:rsidR="00DD2118" w:rsidRPr="00A13BB2" w:rsidRDefault="00DD2118" w:rsidP="00A13BB2">
      <w:pPr>
        <w:spacing w:line="360" w:lineRule="auto"/>
        <w:jc w:val="both"/>
        <w:rPr>
          <w:sz w:val="24"/>
          <w:szCs w:val="24"/>
        </w:rPr>
      </w:pPr>
      <w:r w:rsidRPr="00A13BB2">
        <w:rPr>
          <w:sz w:val="24"/>
          <w:szCs w:val="24"/>
        </w:rPr>
        <w:t xml:space="preserve">Eurostat (2017), </w:t>
      </w:r>
      <w:r w:rsidRPr="00A13BB2">
        <w:rPr>
          <w:i/>
          <w:sz w:val="24"/>
          <w:szCs w:val="24"/>
        </w:rPr>
        <w:t>Fertility Statistics</w:t>
      </w:r>
      <w:r w:rsidRPr="00A13BB2">
        <w:rPr>
          <w:sz w:val="24"/>
          <w:szCs w:val="24"/>
        </w:rPr>
        <w:t>, Luxembourg: Publications Office of the European Union</w:t>
      </w:r>
    </w:p>
    <w:p w14:paraId="13B0A321" w14:textId="77777777" w:rsidR="005C356F" w:rsidRPr="00A13BB2" w:rsidRDefault="005C356F" w:rsidP="00A13BB2">
      <w:pPr>
        <w:spacing w:line="360" w:lineRule="auto"/>
        <w:jc w:val="both"/>
        <w:rPr>
          <w:rFonts w:cs="Arial"/>
          <w:sz w:val="24"/>
          <w:szCs w:val="24"/>
        </w:rPr>
      </w:pPr>
      <w:r w:rsidRPr="00A13BB2">
        <w:rPr>
          <w:rFonts w:cs="Arial"/>
          <w:sz w:val="24"/>
          <w:szCs w:val="24"/>
        </w:rPr>
        <w:t xml:space="preserve">EY (2018), </w:t>
      </w:r>
      <w:r w:rsidRPr="00A13BB2">
        <w:rPr>
          <w:rFonts w:cs="Arial"/>
          <w:i/>
          <w:sz w:val="24"/>
          <w:szCs w:val="24"/>
        </w:rPr>
        <w:t>Economic Eye Summer Forecast</w:t>
      </w:r>
      <w:r w:rsidRPr="00A13BB2">
        <w:rPr>
          <w:rFonts w:cs="Arial"/>
          <w:sz w:val="24"/>
          <w:szCs w:val="24"/>
        </w:rPr>
        <w:t>, Dublin: Ernst &amp; Young Ireland</w:t>
      </w:r>
    </w:p>
    <w:p w14:paraId="46759CB9" w14:textId="071098D5" w:rsidR="00147652" w:rsidRPr="00A13BB2" w:rsidRDefault="00147652" w:rsidP="00A13BB2">
      <w:pPr>
        <w:spacing w:line="360" w:lineRule="auto"/>
        <w:jc w:val="both"/>
        <w:rPr>
          <w:sz w:val="24"/>
          <w:szCs w:val="24"/>
        </w:rPr>
      </w:pPr>
      <w:r w:rsidRPr="00A13BB2">
        <w:rPr>
          <w:sz w:val="24"/>
          <w:szCs w:val="24"/>
        </w:rPr>
        <w:t xml:space="preserve">Fullan. M. (2008). </w:t>
      </w:r>
      <w:r w:rsidRPr="00A13BB2">
        <w:rPr>
          <w:i/>
          <w:iCs/>
          <w:sz w:val="24"/>
          <w:szCs w:val="24"/>
        </w:rPr>
        <w:t xml:space="preserve">What’s Worth Fighting </w:t>
      </w:r>
      <w:proofErr w:type="gramStart"/>
      <w:r w:rsidRPr="00A13BB2">
        <w:rPr>
          <w:i/>
          <w:iCs/>
          <w:sz w:val="24"/>
          <w:szCs w:val="24"/>
        </w:rPr>
        <w:t>For</w:t>
      </w:r>
      <w:proofErr w:type="gramEnd"/>
      <w:r w:rsidRPr="00A13BB2">
        <w:rPr>
          <w:i/>
          <w:iCs/>
          <w:sz w:val="24"/>
          <w:szCs w:val="24"/>
        </w:rPr>
        <w:t xml:space="preserve"> in Headship? </w:t>
      </w:r>
      <w:r w:rsidRPr="00A13BB2">
        <w:rPr>
          <w:sz w:val="24"/>
          <w:szCs w:val="24"/>
        </w:rPr>
        <w:t xml:space="preserve">London: McGraw Hill Higher Education </w:t>
      </w:r>
    </w:p>
    <w:p w14:paraId="3AE7A413" w14:textId="76842468" w:rsidR="00DD2118" w:rsidRPr="00A13BB2" w:rsidRDefault="00DD2118" w:rsidP="00A13BB2">
      <w:pPr>
        <w:spacing w:line="360" w:lineRule="auto"/>
        <w:jc w:val="both"/>
        <w:rPr>
          <w:rFonts w:cs="Arial"/>
          <w:sz w:val="24"/>
          <w:szCs w:val="24"/>
        </w:rPr>
      </w:pPr>
      <w:r w:rsidRPr="00A13BB2">
        <w:rPr>
          <w:rFonts w:cs="Arial"/>
          <w:sz w:val="24"/>
          <w:szCs w:val="24"/>
        </w:rPr>
        <w:t xml:space="preserve">Growing Up in Ireland (2017), </w:t>
      </w:r>
      <w:r w:rsidRPr="00A13BB2">
        <w:rPr>
          <w:rFonts w:cs="Arial"/>
          <w:i/>
          <w:sz w:val="24"/>
          <w:szCs w:val="24"/>
        </w:rPr>
        <w:t>Key Findings: Infant cohort at 7/8 years, School and learning</w:t>
      </w:r>
      <w:r w:rsidRPr="00A13BB2">
        <w:rPr>
          <w:rFonts w:cs="Arial"/>
          <w:sz w:val="24"/>
          <w:szCs w:val="24"/>
        </w:rPr>
        <w:t xml:space="preserve">, Dublin: ESRI </w:t>
      </w:r>
    </w:p>
    <w:p w14:paraId="099CC999" w14:textId="4B697EF7" w:rsidR="00103D60" w:rsidRPr="00A13BB2" w:rsidRDefault="00103D60" w:rsidP="00A13BB2">
      <w:pPr>
        <w:spacing w:line="360" w:lineRule="auto"/>
        <w:jc w:val="both"/>
        <w:rPr>
          <w:rFonts w:cs="Arial"/>
          <w:sz w:val="24"/>
          <w:szCs w:val="24"/>
        </w:rPr>
      </w:pPr>
      <w:r w:rsidRPr="00A13BB2">
        <w:rPr>
          <w:rFonts w:cs="Arial"/>
          <w:sz w:val="24"/>
          <w:szCs w:val="24"/>
        </w:rPr>
        <w:t xml:space="preserve">ICTU (2018), </w:t>
      </w:r>
      <w:r w:rsidRPr="00A13BB2">
        <w:rPr>
          <w:rFonts w:cs="Arial"/>
          <w:i/>
          <w:sz w:val="24"/>
          <w:szCs w:val="24"/>
        </w:rPr>
        <w:t>Pre-Budget 2019 Submission</w:t>
      </w:r>
      <w:r w:rsidRPr="00A13BB2">
        <w:rPr>
          <w:rFonts w:cs="Arial"/>
          <w:sz w:val="24"/>
          <w:szCs w:val="24"/>
        </w:rPr>
        <w:t>, Dublin: Irish Congress of Trade Unions</w:t>
      </w:r>
    </w:p>
    <w:p w14:paraId="32641637" w14:textId="77777777" w:rsidR="00DD2118" w:rsidRPr="00A13BB2" w:rsidRDefault="00DD2118" w:rsidP="00A13BB2">
      <w:pPr>
        <w:spacing w:line="360" w:lineRule="auto"/>
        <w:jc w:val="both"/>
        <w:rPr>
          <w:rFonts w:cs="Arial"/>
          <w:sz w:val="24"/>
          <w:szCs w:val="24"/>
        </w:rPr>
      </w:pPr>
      <w:r w:rsidRPr="00A13BB2">
        <w:rPr>
          <w:sz w:val="24"/>
          <w:szCs w:val="24"/>
        </w:rPr>
        <w:t>IMF</w:t>
      </w:r>
      <w:r w:rsidRPr="00A13BB2">
        <w:rPr>
          <w:rFonts w:cs="Arial"/>
          <w:sz w:val="24"/>
          <w:szCs w:val="24"/>
        </w:rPr>
        <w:t xml:space="preserve"> (2017), </w:t>
      </w:r>
      <w:r w:rsidRPr="00A13BB2">
        <w:rPr>
          <w:rFonts w:cs="Arial"/>
          <w:i/>
          <w:sz w:val="24"/>
          <w:szCs w:val="24"/>
        </w:rPr>
        <w:t>World Economic Outlook</w:t>
      </w:r>
      <w:r w:rsidRPr="00A13BB2">
        <w:rPr>
          <w:rFonts w:cs="Arial"/>
          <w:sz w:val="24"/>
          <w:szCs w:val="24"/>
        </w:rPr>
        <w:t>, Washington DC: International Monetary Fund</w:t>
      </w:r>
    </w:p>
    <w:p w14:paraId="3ECD0C54" w14:textId="77777777" w:rsidR="00147652" w:rsidRPr="00A13BB2" w:rsidRDefault="00147652" w:rsidP="00A13BB2">
      <w:pPr>
        <w:autoSpaceDE w:val="0"/>
        <w:autoSpaceDN w:val="0"/>
        <w:adjustRightInd w:val="0"/>
        <w:spacing w:after="0" w:line="360" w:lineRule="auto"/>
        <w:jc w:val="both"/>
        <w:rPr>
          <w:sz w:val="24"/>
          <w:szCs w:val="24"/>
        </w:rPr>
      </w:pPr>
      <w:r w:rsidRPr="00A13BB2">
        <w:rPr>
          <w:sz w:val="24"/>
          <w:szCs w:val="24"/>
        </w:rPr>
        <w:t xml:space="preserve">INCA (2003). </w:t>
      </w:r>
      <w:r w:rsidRPr="00A13BB2">
        <w:rPr>
          <w:i/>
          <w:iCs/>
          <w:sz w:val="24"/>
          <w:szCs w:val="24"/>
        </w:rPr>
        <w:t>International Trends in Primary Education</w:t>
      </w:r>
      <w:r w:rsidRPr="00A13BB2">
        <w:rPr>
          <w:sz w:val="24"/>
          <w:szCs w:val="24"/>
        </w:rPr>
        <w:t xml:space="preserve">. INCA Thematic Study 9, Retrieved June 11, 2011 </w:t>
      </w:r>
      <w:proofErr w:type="spellStart"/>
      <w:proofErr w:type="gramStart"/>
      <w:r w:rsidRPr="00A13BB2">
        <w:rPr>
          <w:sz w:val="24"/>
          <w:szCs w:val="24"/>
        </w:rPr>
        <w:t>from:http</w:t>
      </w:r>
      <w:proofErr w:type="spellEnd"/>
      <w:r w:rsidRPr="00A13BB2">
        <w:rPr>
          <w:sz w:val="24"/>
          <w:szCs w:val="24"/>
        </w:rPr>
        <w:t>://www.inca.org.uk/pdf/thematic_study_9.pdf</w:t>
      </w:r>
      <w:proofErr w:type="gramEnd"/>
      <w:r w:rsidRPr="00A13BB2">
        <w:rPr>
          <w:sz w:val="24"/>
          <w:szCs w:val="24"/>
        </w:rPr>
        <w:t xml:space="preserve"> </w:t>
      </w:r>
    </w:p>
    <w:p w14:paraId="401554AB" w14:textId="04F4CF9A" w:rsidR="0098067E" w:rsidRPr="00A13BB2" w:rsidRDefault="0098067E" w:rsidP="00A13BB2">
      <w:pPr>
        <w:autoSpaceDE w:val="0"/>
        <w:autoSpaceDN w:val="0"/>
        <w:adjustRightInd w:val="0"/>
        <w:spacing w:after="0" w:line="360" w:lineRule="auto"/>
        <w:jc w:val="both"/>
        <w:rPr>
          <w:rFonts w:cs="Arial"/>
          <w:sz w:val="24"/>
          <w:szCs w:val="24"/>
        </w:rPr>
      </w:pPr>
      <w:r w:rsidRPr="00A13BB2">
        <w:rPr>
          <w:rFonts w:cs="Arial"/>
          <w:sz w:val="24"/>
          <w:szCs w:val="24"/>
        </w:rPr>
        <w:t xml:space="preserve">Kantar Millward Brown (2018), </w:t>
      </w:r>
      <w:r w:rsidRPr="00A13BB2">
        <w:rPr>
          <w:rFonts w:cs="Arial"/>
          <w:i/>
          <w:sz w:val="24"/>
          <w:szCs w:val="24"/>
        </w:rPr>
        <w:t>Our Faith in Institutions</w:t>
      </w:r>
      <w:r w:rsidRPr="00A13BB2">
        <w:rPr>
          <w:rFonts w:cs="Arial"/>
          <w:sz w:val="24"/>
          <w:szCs w:val="24"/>
        </w:rPr>
        <w:t>, Dublin: Kantar Millward Brown</w:t>
      </w:r>
    </w:p>
    <w:p w14:paraId="1D738C9B" w14:textId="77777777" w:rsidR="004F4FDD" w:rsidRPr="00A13BB2" w:rsidRDefault="004F4FDD" w:rsidP="00A13BB2">
      <w:pPr>
        <w:spacing w:line="360" w:lineRule="auto"/>
        <w:jc w:val="both"/>
        <w:rPr>
          <w:rFonts w:cs="Arial"/>
          <w:sz w:val="24"/>
          <w:szCs w:val="24"/>
          <w:lang w:val="en-US"/>
        </w:rPr>
      </w:pPr>
      <w:r w:rsidRPr="00A13BB2">
        <w:rPr>
          <w:rFonts w:cs="Arial"/>
          <w:sz w:val="24"/>
          <w:szCs w:val="24"/>
        </w:rPr>
        <w:t xml:space="preserve">NERI (2018), </w:t>
      </w:r>
      <w:r w:rsidRPr="00A13BB2">
        <w:rPr>
          <w:rFonts w:cs="Arial"/>
          <w:i/>
          <w:sz w:val="24"/>
          <w:szCs w:val="24"/>
        </w:rPr>
        <w:t>Quarterly Economic Observer, Summer 2018</w:t>
      </w:r>
      <w:r w:rsidRPr="00A13BB2">
        <w:rPr>
          <w:rFonts w:cs="Arial"/>
          <w:sz w:val="24"/>
          <w:szCs w:val="24"/>
        </w:rPr>
        <w:t>, Dublin: Nevin Economic Research Institute</w:t>
      </w:r>
      <w:r w:rsidRPr="00A13BB2">
        <w:rPr>
          <w:rFonts w:cs="Arial"/>
          <w:sz w:val="24"/>
          <w:szCs w:val="24"/>
          <w:lang w:val="en-US"/>
        </w:rPr>
        <w:t xml:space="preserve"> </w:t>
      </w:r>
    </w:p>
    <w:p w14:paraId="7AE167C1" w14:textId="77777777" w:rsidR="00DD2118" w:rsidRPr="00A13BB2" w:rsidRDefault="00DD2118" w:rsidP="00A13BB2">
      <w:pPr>
        <w:spacing w:after="200" w:line="360" w:lineRule="auto"/>
        <w:jc w:val="both"/>
        <w:rPr>
          <w:sz w:val="24"/>
          <w:szCs w:val="24"/>
        </w:rPr>
      </w:pPr>
      <w:r w:rsidRPr="00A13BB2">
        <w:rPr>
          <w:sz w:val="24"/>
          <w:szCs w:val="24"/>
        </w:rPr>
        <w:t xml:space="preserve">OECD (2009), </w:t>
      </w:r>
      <w:r w:rsidRPr="00A13BB2">
        <w:rPr>
          <w:i/>
          <w:sz w:val="24"/>
          <w:szCs w:val="24"/>
        </w:rPr>
        <w:t>Education at a Glance</w:t>
      </w:r>
      <w:r w:rsidRPr="00A13BB2">
        <w:rPr>
          <w:sz w:val="24"/>
          <w:szCs w:val="24"/>
        </w:rPr>
        <w:t xml:space="preserve">, Paris: Organisation for Economic Co-operation and Development </w:t>
      </w:r>
    </w:p>
    <w:p w14:paraId="34564DA7" w14:textId="77777777" w:rsidR="00DD2118" w:rsidRPr="00A13BB2" w:rsidRDefault="00DD2118" w:rsidP="00A13BB2">
      <w:pPr>
        <w:spacing w:after="200" w:line="360" w:lineRule="auto"/>
        <w:jc w:val="both"/>
        <w:rPr>
          <w:sz w:val="24"/>
          <w:szCs w:val="24"/>
        </w:rPr>
      </w:pPr>
      <w:r w:rsidRPr="00A13BB2">
        <w:rPr>
          <w:sz w:val="24"/>
          <w:szCs w:val="24"/>
        </w:rPr>
        <w:t xml:space="preserve">OECD (2013), </w:t>
      </w:r>
      <w:r w:rsidRPr="00A13BB2">
        <w:rPr>
          <w:i/>
          <w:sz w:val="24"/>
          <w:szCs w:val="24"/>
        </w:rPr>
        <w:t>Education at a Glance</w:t>
      </w:r>
      <w:r w:rsidRPr="00A13BB2">
        <w:rPr>
          <w:sz w:val="24"/>
          <w:szCs w:val="24"/>
        </w:rPr>
        <w:t xml:space="preserve">, Paris: Organisation for Economic Co-operation and Development </w:t>
      </w:r>
    </w:p>
    <w:p w14:paraId="5224F2F0" w14:textId="2114770A" w:rsidR="00E952F4" w:rsidRPr="00A13BB2" w:rsidRDefault="00E952F4" w:rsidP="00A13BB2">
      <w:pPr>
        <w:spacing w:line="360" w:lineRule="auto"/>
        <w:jc w:val="both"/>
        <w:rPr>
          <w:rFonts w:cs="Arial"/>
          <w:sz w:val="24"/>
          <w:szCs w:val="24"/>
        </w:rPr>
      </w:pPr>
      <w:r w:rsidRPr="00A13BB2">
        <w:rPr>
          <w:rFonts w:cs="Arial"/>
          <w:sz w:val="24"/>
          <w:szCs w:val="24"/>
        </w:rPr>
        <w:t xml:space="preserve">OECD (2015a), </w:t>
      </w:r>
      <w:r w:rsidRPr="00A13BB2">
        <w:rPr>
          <w:rFonts w:cs="Arial"/>
          <w:i/>
          <w:sz w:val="24"/>
          <w:szCs w:val="24"/>
        </w:rPr>
        <w:t>Government at a Glance 2015</w:t>
      </w:r>
      <w:r w:rsidRPr="00A13BB2">
        <w:rPr>
          <w:rFonts w:cs="Arial"/>
          <w:sz w:val="24"/>
          <w:szCs w:val="24"/>
        </w:rPr>
        <w:t>, Paris: OECD Publishing</w:t>
      </w:r>
    </w:p>
    <w:p w14:paraId="6DEDC0EE" w14:textId="601A72BA" w:rsidR="00DD2118" w:rsidRPr="00A13BB2" w:rsidRDefault="00DD2118" w:rsidP="00A13BB2">
      <w:pPr>
        <w:spacing w:line="360" w:lineRule="auto"/>
        <w:jc w:val="both"/>
        <w:rPr>
          <w:rFonts w:cs="Arial"/>
          <w:sz w:val="24"/>
          <w:szCs w:val="24"/>
        </w:rPr>
      </w:pPr>
      <w:r w:rsidRPr="00A13BB2">
        <w:rPr>
          <w:rFonts w:cs="Arial"/>
          <w:sz w:val="24"/>
          <w:szCs w:val="24"/>
        </w:rPr>
        <w:t>OECD (2015</w:t>
      </w:r>
      <w:r w:rsidR="00E952F4" w:rsidRPr="00A13BB2">
        <w:rPr>
          <w:rFonts w:cs="Arial"/>
          <w:sz w:val="24"/>
          <w:szCs w:val="24"/>
        </w:rPr>
        <w:t>b</w:t>
      </w:r>
      <w:r w:rsidRPr="00A13BB2">
        <w:rPr>
          <w:rFonts w:cs="Arial"/>
          <w:sz w:val="24"/>
          <w:szCs w:val="24"/>
        </w:rPr>
        <w:t xml:space="preserve">), </w:t>
      </w:r>
      <w:r w:rsidRPr="00A13BB2">
        <w:rPr>
          <w:rFonts w:cs="Arial"/>
          <w:i/>
          <w:sz w:val="24"/>
          <w:szCs w:val="24"/>
        </w:rPr>
        <w:t>Education at a Glance 2015</w:t>
      </w:r>
      <w:r w:rsidRPr="00A13BB2">
        <w:rPr>
          <w:rFonts w:cs="Arial"/>
          <w:sz w:val="24"/>
          <w:szCs w:val="24"/>
        </w:rPr>
        <w:t>, Paris: OECD Publishing</w:t>
      </w:r>
    </w:p>
    <w:p w14:paraId="156CBD6E" w14:textId="7B3D37E8" w:rsidR="00072A73" w:rsidRPr="00A13BB2" w:rsidRDefault="00072A73" w:rsidP="00A13BB2">
      <w:pPr>
        <w:spacing w:line="360" w:lineRule="auto"/>
        <w:jc w:val="both"/>
        <w:rPr>
          <w:rFonts w:cs="Arial"/>
          <w:sz w:val="24"/>
          <w:szCs w:val="24"/>
        </w:rPr>
      </w:pPr>
      <w:r w:rsidRPr="00A13BB2">
        <w:rPr>
          <w:rFonts w:cs="Arial"/>
          <w:sz w:val="24"/>
          <w:szCs w:val="24"/>
        </w:rPr>
        <w:t xml:space="preserve">OECD (2017), </w:t>
      </w:r>
      <w:r w:rsidRPr="00A13BB2">
        <w:rPr>
          <w:rFonts w:cs="Arial"/>
          <w:i/>
          <w:sz w:val="24"/>
          <w:szCs w:val="24"/>
        </w:rPr>
        <w:t>Economic Outlook 2017</w:t>
      </w:r>
      <w:r w:rsidRPr="00A13BB2">
        <w:rPr>
          <w:rFonts w:cs="Arial"/>
          <w:sz w:val="24"/>
          <w:szCs w:val="24"/>
        </w:rPr>
        <w:t>, Paris: OECD Publishing</w:t>
      </w:r>
    </w:p>
    <w:p w14:paraId="3DB83E62" w14:textId="77777777" w:rsidR="00CC447F" w:rsidRPr="00A13BB2" w:rsidRDefault="00CC447F" w:rsidP="00A13BB2">
      <w:pPr>
        <w:autoSpaceDE w:val="0"/>
        <w:autoSpaceDN w:val="0"/>
        <w:adjustRightInd w:val="0"/>
        <w:spacing w:after="0" w:line="360" w:lineRule="auto"/>
        <w:jc w:val="both"/>
        <w:rPr>
          <w:rFonts w:cs="Arial"/>
          <w:sz w:val="24"/>
          <w:szCs w:val="24"/>
        </w:rPr>
      </w:pPr>
      <w:r w:rsidRPr="00A13BB2">
        <w:rPr>
          <w:rFonts w:cs="Arial"/>
          <w:sz w:val="24"/>
          <w:szCs w:val="24"/>
        </w:rPr>
        <w:lastRenderedPageBreak/>
        <w:t xml:space="preserve">Scanlon, G. &amp; McKenna, G. (2018), </w:t>
      </w:r>
      <w:r w:rsidRPr="00A13BB2">
        <w:rPr>
          <w:rFonts w:cs="Arial"/>
          <w:i/>
          <w:sz w:val="24"/>
          <w:szCs w:val="24"/>
        </w:rPr>
        <w:t>Home Works: A study on the educational needs of children experiencing homelessness and living in emergency accommodation</w:t>
      </w:r>
      <w:r w:rsidRPr="00A13BB2">
        <w:rPr>
          <w:rFonts w:cs="Arial"/>
          <w:sz w:val="24"/>
          <w:szCs w:val="24"/>
        </w:rPr>
        <w:t xml:space="preserve">, Dublin: Children’s Rights Alliance </w:t>
      </w:r>
    </w:p>
    <w:p w14:paraId="1D22FD93" w14:textId="649EDE04" w:rsidR="00E952F4" w:rsidRPr="00A13BB2" w:rsidRDefault="00E952F4" w:rsidP="00A13BB2">
      <w:pPr>
        <w:autoSpaceDE w:val="0"/>
        <w:autoSpaceDN w:val="0"/>
        <w:adjustRightInd w:val="0"/>
        <w:spacing w:after="0" w:line="360" w:lineRule="auto"/>
        <w:jc w:val="both"/>
        <w:rPr>
          <w:rFonts w:cs="Arial"/>
          <w:color w:val="000000"/>
          <w:sz w:val="24"/>
          <w:szCs w:val="24"/>
        </w:rPr>
      </w:pPr>
      <w:r w:rsidRPr="00A13BB2">
        <w:rPr>
          <w:rFonts w:cs="Arial"/>
          <w:color w:val="000000"/>
          <w:sz w:val="24"/>
          <w:szCs w:val="24"/>
        </w:rPr>
        <w:t xml:space="preserve">SJI (2018), </w:t>
      </w:r>
      <w:r w:rsidRPr="00A13BB2">
        <w:rPr>
          <w:rFonts w:cs="Arial"/>
          <w:i/>
          <w:color w:val="000000"/>
          <w:sz w:val="24"/>
          <w:szCs w:val="24"/>
        </w:rPr>
        <w:t>Poverty Focus 2018</w:t>
      </w:r>
      <w:r w:rsidRPr="00A13BB2">
        <w:rPr>
          <w:rFonts w:cs="Arial"/>
          <w:color w:val="000000"/>
          <w:sz w:val="24"/>
          <w:szCs w:val="24"/>
        </w:rPr>
        <w:t>, Dublin: Social Justice Ireland</w:t>
      </w:r>
    </w:p>
    <w:p w14:paraId="10C7A31A" w14:textId="77777777" w:rsidR="00BC5F90" w:rsidRPr="00A13BB2" w:rsidRDefault="00BC5F90" w:rsidP="00A13BB2">
      <w:pPr>
        <w:spacing w:line="360" w:lineRule="auto"/>
        <w:jc w:val="both"/>
        <w:rPr>
          <w:rFonts w:cs="Arial"/>
          <w:sz w:val="24"/>
          <w:szCs w:val="24"/>
        </w:rPr>
      </w:pPr>
      <w:r w:rsidRPr="00A13BB2">
        <w:rPr>
          <w:rFonts w:cs="Arial"/>
          <w:sz w:val="24"/>
          <w:szCs w:val="24"/>
        </w:rPr>
        <w:t xml:space="preserve">Social Progress Initiative (2018), </w:t>
      </w:r>
      <w:r w:rsidRPr="00A13BB2">
        <w:rPr>
          <w:rFonts w:cs="Arial"/>
          <w:i/>
          <w:sz w:val="24"/>
          <w:szCs w:val="24"/>
        </w:rPr>
        <w:t>Social Progress Index 2018</w:t>
      </w:r>
      <w:r w:rsidRPr="00A13BB2">
        <w:rPr>
          <w:rFonts w:cs="Arial"/>
          <w:sz w:val="24"/>
          <w:szCs w:val="24"/>
        </w:rPr>
        <w:t>, Washington DC, USA: Social Progress Imperative</w:t>
      </w:r>
    </w:p>
    <w:p w14:paraId="18CB66E4" w14:textId="1A73EDD7" w:rsidR="00DD2118" w:rsidRPr="00A13BB2" w:rsidRDefault="00DD2118" w:rsidP="00A13BB2">
      <w:pPr>
        <w:spacing w:line="360" w:lineRule="auto"/>
        <w:jc w:val="both"/>
        <w:rPr>
          <w:rFonts w:cs="Arial"/>
          <w:sz w:val="24"/>
          <w:szCs w:val="24"/>
        </w:rPr>
      </w:pPr>
      <w:r w:rsidRPr="00A13BB2">
        <w:rPr>
          <w:rFonts w:cs="Arial"/>
          <w:sz w:val="24"/>
          <w:szCs w:val="24"/>
        </w:rPr>
        <w:t xml:space="preserve">Teaching Council (2010), </w:t>
      </w:r>
      <w:r w:rsidRPr="00A13BB2">
        <w:rPr>
          <w:rFonts w:cs="Arial"/>
          <w:i/>
          <w:sz w:val="24"/>
          <w:szCs w:val="24"/>
        </w:rPr>
        <w:t>Evaluation of Public Attitudes to the Teaching Profession</w:t>
      </w:r>
      <w:r w:rsidRPr="00A13BB2">
        <w:rPr>
          <w:rFonts w:cs="Arial"/>
          <w:sz w:val="24"/>
          <w:szCs w:val="24"/>
        </w:rPr>
        <w:t>, Maynooth: Teaching Council</w:t>
      </w:r>
    </w:p>
    <w:p w14:paraId="0523078D" w14:textId="77777777" w:rsidR="00103D60" w:rsidRPr="00A13BB2" w:rsidRDefault="00103D60" w:rsidP="00A13BB2">
      <w:pPr>
        <w:spacing w:line="360" w:lineRule="auto"/>
        <w:jc w:val="both"/>
        <w:rPr>
          <w:rFonts w:cs="Arial"/>
          <w:sz w:val="24"/>
          <w:szCs w:val="24"/>
        </w:rPr>
      </w:pPr>
      <w:bookmarkStart w:id="4" w:name="_Hlk527971900"/>
      <w:r w:rsidRPr="00A13BB2">
        <w:rPr>
          <w:rFonts w:cs="Arial"/>
          <w:sz w:val="24"/>
          <w:szCs w:val="24"/>
        </w:rPr>
        <w:t xml:space="preserve">TUI (2018), </w:t>
      </w:r>
      <w:r w:rsidRPr="00A13BB2">
        <w:rPr>
          <w:rFonts w:cs="Arial"/>
          <w:i/>
          <w:sz w:val="24"/>
          <w:szCs w:val="24"/>
        </w:rPr>
        <w:t>Pre-Budget 2019 Submission</w:t>
      </w:r>
      <w:r w:rsidRPr="00A13BB2">
        <w:rPr>
          <w:rFonts w:cs="Arial"/>
          <w:sz w:val="24"/>
          <w:szCs w:val="24"/>
        </w:rPr>
        <w:t>, Dublin: Teachers’ Union of Ireland</w:t>
      </w:r>
    </w:p>
    <w:bookmarkEnd w:id="4"/>
    <w:p w14:paraId="6C781FA1" w14:textId="4F8A3BC0" w:rsidR="0053094D" w:rsidRPr="00A13BB2" w:rsidRDefault="0053094D" w:rsidP="00A13BB2">
      <w:pPr>
        <w:spacing w:line="360" w:lineRule="auto"/>
        <w:jc w:val="both"/>
        <w:rPr>
          <w:rFonts w:cs="Arial"/>
          <w:sz w:val="24"/>
          <w:szCs w:val="24"/>
        </w:rPr>
      </w:pPr>
      <w:r w:rsidRPr="00A13BB2">
        <w:rPr>
          <w:rFonts w:cs="Arial"/>
          <w:sz w:val="24"/>
          <w:szCs w:val="24"/>
        </w:rPr>
        <w:t xml:space="preserve">United Nations Development Programme (2018), </w:t>
      </w:r>
      <w:r w:rsidRPr="00A13BB2">
        <w:rPr>
          <w:rFonts w:cs="Arial"/>
          <w:i/>
          <w:sz w:val="24"/>
          <w:szCs w:val="24"/>
        </w:rPr>
        <w:t>Human Development Indices and Indicators: 2018 statistical update</w:t>
      </w:r>
      <w:r w:rsidRPr="00A13BB2">
        <w:rPr>
          <w:rFonts w:cs="Arial"/>
          <w:sz w:val="24"/>
          <w:szCs w:val="24"/>
        </w:rPr>
        <w:t>, New York: United Nations</w:t>
      </w:r>
    </w:p>
    <w:p w14:paraId="5AE9D48D" w14:textId="77777777" w:rsidR="0053094D" w:rsidRPr="00A13BB2" w:rsidRDefault="0053094D" w:rsidP="00A13BB2">
      <w:pPr>
        <w:spacing w:line="360" w:lineRule="auto"/>
        <w:jc w:val="both"/>
        <w:rPr>
          <w:sz w:val="24"/>
          <w:szCs w:val="24"/>
        </w:rPr>
      </w:pPr>
    </w:p>
    <w:sectPr w:rsidR="0053094D" w:rsidRPr="00A13BB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552CD" w14:textId="77777777" w:rsidR="002B0F81" w:rsidRDefault="002B0F81" w:rsidP="0084145C">
      <w:pPr>
        <w:spacing w:after="0" w:line="240" w:lineRule="auto"/>
      </w:pPr>
      <w:r>
        <w:separator/>
      </w:r>
    </w:p>
  </w:endnote>
  <w:endnote w:type="continuationSeparator" w:id="0">
    <w:p w14:paraId="60DCA892" w14:textId="77777777" w:rsidR="002B0F81" w:rsidRDefault="002B0F81" w:rsidP="0084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Grotesque-Regular">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989662"/>
      <w:docPartObj>
        <w:docPartGallery w:val="Page Numbers (Bottom of Page)"/>
        <w:docPartUnique/>
      </w:docPartObj>
    </w:sdtPr>
    <w:sdtEndPr>
      <w:rPr>
        <w:noProof/>
      </w:rPr>
    </w:sdtEndPr>
    <w:sdtContent>
      <w:p w14:paraId="6901D8CA" w14:textId="655B4902" w:rsidR="00850121" w:rsidRDefault="00850121">
        <w:pPr>
          <w:pStyle w:val="Footer"/>
          <w:jc w:val="right"/>
        </w:pPr>
        <w:r>
          <w:fldChar w:fldCharType="begin"/>
        </w:r>
        <w:r>
          <w:instrText xml:space="preserve"> PAGE   \* MERGEFORMAT </w:instrText>
        </w:r>
        <w:r>
          <w:fldChar w:fldCharType="separate"/>
        </w:r>
        <w:r w:rsidR="005B6EFF">
          <w:rPr>
            <w:noProof/>
          </w:rPr>
          <w:t>15</w:t>
        </w:r>
        <w:r>
          <w:rPr>
            <w:noProof/>
          </w:rPr>
          <w:fldChar w:fldCharType="end"/>
        </w:r>
      </w:p>
    </w:sdtContent>
  </w:sdt>
  <w:p w14:paraId="06582505" w14:textId="77777777" w:rsidR="00850121" w:rsidRDefault="00850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38457" w14:textId="77777777" w:rsidR="002B0F81" w:rsidRDefault="002B0F81" w:rsidP="0084145C">
      <w:pPr>
        <w:spacing w:after="0" w:line="240" w:lineRule="auto"/>
      </w:pPr>
      <w:r>
        <w:separator/>
      </w:r>
    </w:p>
  </w:footnote>
  <w:footnote w:type="continuationSeparator" w:id="0">
    <w:p w14:paraId="04008F31" w14:textId="77777777" w:rsidR="002B0F81" w:rsidRDefault="002B0F81" w:rsidP="00841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771"/>
    <w:multiLevelType w:val="hybridMultilevel"/>
    <w:tmpl w:val="467E9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13534"/>
    <w:multiLevelType w:val="hybridMultilevel"/>
    <w:tmpl w:val="7368C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453DE"/>
    <w:multiLevelType w:val="multilevel"/>
    <w:tmpl w:val="63CE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352FD1"/>
    <w:multiLevelType w:val="hybridMultilevel"/>
    <w:tmpl w:val="424E0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DB3CCE"/>
    <w:multiLevelType w:val="multilevel"/>
    <w:tmpl w:val="E83E3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72DAF"/>
    <w:multiLevelType w:val="hybridMultilevel"/>
    <w:tmpl w:val="6AE68806"/>
    <w:lvl w:ilvl="0" w:tplc="D396B788">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0770691"/>
    <w:multiLevelType w:val="multilevel"/>
    <w:tmpl w:val="52947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8153B"/>
    <w:multiLevelType w:val="hybridMultilevel"/>
    <w:tmpl w:val="6C0EC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E19263"/>
    <w:multiLevelType w:val="hybridMultilevel"/>
    <w:tmpl w:val="FFE0882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B4E448D"/>
    <w:multiLevelType w:val="multilevel"/>
    <w:tmpl w:val="10F29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67B59EB"/>
    <w:multiLevelType w:val="hybridMultilevel"/>
    <w:tmpl w:val="95821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CE0205C"/>
    <w:multiLevelType w:val="hybridMultilevel"/>
    <w:tmpl w:val="30404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03E3F94"/>
    <w:multiLevelType w:val="hybridMultilevel"/>
    <w:tmpl w:val="0D34C6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2933F67"/>
    <w:multiLevelType w:val="hybridMultilevel"/>
    <w:tmpl w:val="A4C6EB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6141E9B"/>
    <w:multiLevelType w:val="hybridMultilevel"/>
    <w:tmpl w:val="AD32C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8D00F3"/>
    <w:multiLevelType w:val="hybridMultilevel"/>
    <w:tmpl w:val="426C7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21"/>
  </w:num>
  <w:num w:numId="5">
    <w:abstractNumId w:val="17"/>
  </w:num>
  <w:num w:numId="6">
    <w:abstractNumId w:val="1"/>
  </w:num>
  <w:num w:numId="7">
    <w:abstractNumId w:val="8"/>
  </w:num>
  <w:num w:numId="8">
    <w:abstractNumId w:val="16"/>
  </w:num>
  <w:num w:numId="9">
    <w:abstractNumId w:val="13"/>
  </w:num>
  <w:num w:numId="10">
    <w:abstractNumId w:val="23"/>
  </w:num>
  <w:num w:numId="11">
    <w:abstractNumId w:val="15"/>
  </w:num>
  <w:num w:numId="12">
    <w:abstractNumId w:val="0"/>
  </w:num>
  <w:num w:numId="13">
    <w:abstractNumId w:val="19"/>
  </w:num>
  <w:num w:numId="14">
    <w:abstractNumId w:val="4"/>
  </w:num>
  <w:num w:numId="15">
    <w:abstractNumId w:val="2"/>
  </w:num>
  <w:num w:numId="16">
    <w:abstractNumId w:val="22"/>
  </w:num>
  <w:num w:numId="17">
    <w:abstractNumId w:val="14"/>
  </w:num>
  <w:num w:numId="18">
    <w:abstractNumId w:val="7"/>
  </w:num>
  <w:num w:numId="19">
    <w:abstractNumId w:val="5"/>
  </w:num>
  <w:num w:numId="20">
    <w:abstractNumId w:val="18"/>
  </w:num>
  <w:num w:numId="21">
    <w:abstractNumId w:val="6"/>
  </w:num>
  <w:num w:numId="22">
    <w:abstractNumId w:val="11"/>
  </w:num>
  <w:num w:numId="23">
    <w:abstractNumId w:val="20"/>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15A06"/>
    <w:rsid w:val="00017F05"/>
    <w:rsid w:val="00020DB4"/>
    <w:rsid w:val="00021C7B"/>
    <w:rsid w:val="00023BC3"/>
    <w:rsid w:val="00027F0A"/>
    <w:rsid w:val="00030807"/>
    <w:rsid w:val="000478ED"/>
    <w:rsid w:val="00050223"/>
    <w:rsid w:val="000541F8"/>
    <w:rsid w:val="00072A73"/>
    <w:rsid w:val="000776DA"/>
    <w:rsid w:val="000958AD"/>
    <w:rsid w:val="000A32E3"/>
    <w:rsid w:val="000A6F33"/>
    <w:rsid w:val="000B120C"/>
    <w:rsid w:val="000B6D1B"/>
    <w:rsid w:val="000C09F6"/>
    <w:rsid w:val="000C2063"/>
    <w:rsid w:val="000D1B84"/>
    <w:rsid w:val="000D78D5"/>
    <w:rsid w:val="000E22A7"/>
    <w:rsid w:val="000E49FC"/>
    <w:rsid w:val="000F112B"/>
    <w:rsid w:val="000F3170"/>
    <w:rsid w:val="000F52B2"/>
    <w:rsid w:val="001036F9"/>
    <w:rsid w:val="00103D60"/>
    <w:rsid w:val="0010428C"/>
    <w:rsid w:val="00123F17"/>
    <w:rsid w:val="0013023F"/>
    <w:rsid w:val="001456A9"/>
    <w:rsid w:val="00146111"/>
    <w:rsid w:val="00146738"/>
    <w:rsid w:val="00147652"/>
    <w:rsid w:val="001522ED"/>
    <w:rsid w:val="00167086"/>
    <w:rsid w:val="001674FA"/>
    <w:rsid w:val="0018717F"/>
    <w:rsid w:val="00190B56"/>
    <w:rsid w:val="00190EF9"/>
    <w:rsid w:val="00192003"/>
    <w:rsid w:val="0019362F"/>
    <w:rsid w:val="00194340"/>
    <w:rsid w:val="00196C9A"/>
    <w:rsid w:val="00197292"/>
    <w:rsid w:val="001A0ED8"/>
    <w:rsid w:val="001A568E"/>
    <w:rsid w:val="001A6DAB"/>
    <w:rsid w:val="001B02CC"/>
    <w:rsid w:val="001C40D8"/>
    <w:rsid w:val="001C4AAE"/>
    <w:rsid w:val="001D412D"/>
    <w:rsid w:val="001D54F1"/>
    <w:rsid w:val="001F538B"/>
    <w:rsid w:val="001F67A6"/>
    <w:rsid w:val="00225FFB"/>
    <w:rsid w:val="00230828"/>
    <w:rsid w:val="00231D02"/>
    <w:rsid w:val="002441BD"/>
    <w:rsid w:val="00244472"/>
    <w:rsid w:val="0024520B"/>
    <w:rsid w:val="00246EE2"/>
    <w:rsid w:val="00251BA4"/>
    <w:rsid w:val="00261757"/>
    <w:rsid w:val="00261D19"/>
    <w:rsid w:val="00264A89"/>
    <w:rsid w:val="002653AF"/>
    <w:rsid w:val="002672FF"/>
    <w:rsid w:val="0027542B"/>
    <w:rsid w:val="00280F55"/>
    <w:rsid w:val="00282CA3"/>
    <w:rsid w:val="00290384"/>
    <w:rsid w:val="00293524"/>
    <w:rsid w:val="00296F39"/>
    <w:rsid w:val="002A4C09"/>
    <w:rsid w:val="002A569F"/>
    <w:rsid w:val="002B0F81"/>
    <w:rsid w:val="002B16C3"/>
    <w:rsid w:val="002B2B58"/>
    <w:rsid w:val="002B3562"/>
    <w:rsid w:val="002B50B8"/>
    <w:rsid w:val="002B7C4F"/>
    <w:rsid w:val="002D1C90"/>
    <w:rsid w:val="002D6B85"/>
    <w:rsid w:val="002E13B8"/>
    <w:rsid w:val="002E490F"/>
    <w:rsid w:val="002E553B"/>
    <w:rsid w:val="002F2AD1"/>
    <w:rsid w:val="00307FF5"/>
    <w:rsid w:val="00311F72"/>
    <w:rsid w:val="00313B2E"/>
    <w:rsid w:val="0031492A"/>
    <w:rsid w:val="00324B70"/>
    <w:rsid w:val="00342A57"/>
    <w:rsid w:val="003500DD"/>
    <w:rsid w:val="003505F9"/>
    <w:rsid w:val="00366017"/>
    <w:rsid w:val="003662F4"/>
    <w:rsid w:val="003662FD"/>
    <w:rsid w:val="00366E5C"/>
    <w:rsid w:val="00367268"/>
    <w:rsid w:val="00372A96"/>
    <w:rsid w:val="00373B48"/>
    <w:rsid w:val="00377B55"/>
    <w:rsid w:val="00384E4F"/>
    <w:rsid w:val="00390C85"/>
    <w:rsid w:val="00393415"/>
    <w:rsid w:val="003A3A98"/>
    <w:rsid w:val="003A3C5D"/>
    <w:rsid w:val="003A69DE"/>
    <w:rsid w:val="003B07B6"/>
    <w:rsid w:val="003C1482"/>
    <w:rsid w:val="003C18DB"/>
    <w:rsid w:val="003C2B51"/>
    <w:rsid w:val="003C5798"/>
    <w:rsid w:val="003C7AE0"/>
    <w:rsid w:val="003D29AE"/>
    <w:rsid w:val="003D4A25"/>
    <w:rsid w:val="003D570A"/>
    <w:rsid w:val="003E72AD"/>
    <w:rsid w:val="003F0DF3"/>
    <w:rsid w:val="003F14EB"/>
    <w:rsid w:val="00406327"/>
    <w:rsid w:val="0041104C"/>
    <w:rsid w:val="00415227"/>
    <w:rsid w:val="0042135E"/>
    <w:rsid w:val="004304DC"/>
    <w:rsid w:val="004341CF"/>
    <w:rsid w:val="0044191D"/>
    <w:rsid w:val="00452512"/>
    <w:rsid w:val="00453BBB"/>
    <w:rsid w:val="004677D3"/>
    <w:rsid w:val="00472ABE"/>
    <w:rsid w:val="004736C8"/>
    <w:rsid w:val="00475683"/>
    <w:rsid w:val="00487B33"/>
    <w:rsid w:val="004900D4"/>
    <w:rsid w:val="00491577"/>
    <w:rsid w:val="004965AF"/>
    <w:rsid w:val="004A3AAE"/>
    <w:rsid w:val="004B2784"/>
    <w:rsid w:val="004B3052"/>
    <w:rsid w:val="004C2737"/>
    <w:rsid w:val="004C28C8"/>
    <w:rsid w:val="004D7897"/>
    <w:rsid w:val="004E491E"/>
    <w:rsid w:val="004F1A3F"/>
    <w:rsid w:val="004F4FDD"/>
    <w:rsid w:val="00506CEF"/>
    <w:rsid w:val="00511876"/>
    <w:rsid w:val="005160BD"/>
    <w:rsid w:val="0053094D"/>
    <w:rsid w:val="00535981"/>
    <w:rsid w:val="005405CD"/>
    <w:rsid w:val="00554298"/>
    <w:rsid w:val="0055506C"/>
    <w:rsid w:val="00560B54"/>
    <w:rsid w:val="00571CF8"/>
    <w:rsid w:val="00577038"/>
    <w:rsid w:val="00581260"/>
    <w:rsid w:val="00584363"/>
    <w:rsid w:val="00586FD1"/>
    <w:rsid w:val="00592A08"/>
    <w:rsid w:val="005A57C0"/>
    <w:rsid w:val="005B5A92"/>
    <w:rsid w:val="005B6EFF"/>
    <w:rsid w:val="005C356F"/>
    <w:rsid w:val="005C6CA4"/>
    <w:rsid w:val="005D130F"/>
    <w:rsid w:val="005E3702"/>
    <w:rsid w:val="005F1A07"/>
    <w:rsid w:val="006073AF"/>
    <w:rsid w:val="0061555D"/>
    <w:rsid w:val="006423E0"/>
    <w:rsid w:val="00647F93"/>
    <w:rsid w:val="006513EF"/>
    <w:rsid w:val="006543E9"/>
    <w:rsid w:val="00667374"/>
    <w:rsid w:val="0068149A"/>
    <w:rsid w:val="00693C7E"/>
    <w:rsid w:val="00695428"/>
    <w:rsid w:val="0069772B"/>
    <w:rsid w:val="006A3148"/>
    <w:rsid w:val="006B2416"/>
    <w:rsid w:val="006C2BF8"/>
    <w:rsid w:val="006C3BF5"/>
    <w:rsid w:val="006D0875"/>
    <w:rsid w:val="006D3B2A"/>
    <w:rsid w:val="006D6989"/>
    <w:rsid w:val="006E3D81"/>
    <w:rsid w:val="006E4C85"/>
    <w:rsid w:val="006E7344"/>
    <w:rsid w:val="006F2B71"/>
    <w:rsid w:val="006F4113"/>
    <w:rsid w:val="006F5DF0"/>
    <w:rsid w:val="007024A5"/>
    <w:rsid w:val="0071123F"/>
    <w:rsid w:val="007165AB"/>
    <w:rsid w:val="00720961"/>
    <w:rsid w:val="00722F0F"/>
    <w:rsid w:val="00744523"/>
    <w:rsid w:val="00750973"/>
    <w:rsid w:val="0076340A"/>
    <w:rsid w:val="00775B69"/>
    <w:rsid w:val="00784781"/>
    <w:rsid w:val="00784D27"/>
    <w:rsid w:val="007941B9"/>
    <w:rsid w:val="00795F12"/>
    <w:rsid w:val="007A5F18"/>
    <w:rsid w:val="007B1329"/>
    <w:rsid w:val="007B4766"/>
    <w:rsid w:val="007B5316"/>
    <w:rsid w:val="007C6EA7"/>
    <w:rsid w:val="007D5302"/>
    <w:rsid w:val="007D59D1"/>
    <w:rsid w:val="007D615C"/>
    <w:rsid w:val="007D7D5B"/>
    <w:rsid w:val="007E025D"/>
    <w:rsid w:val="007E5BC8"/>
    <w:rsid w:val="00803E38"/>
    <w:rsid w:val="00810E55"/>
    <w:rsid w:val="00811CD5"/>
    <w:rsid w:val="008132E9"/>
    <w:rsid w:val="00826878"/>
    <w:rsid w:val="00826C52"/>
    <w:rsid w:val="00836D4D"/>
    <w:rsid w:val="0084145C"/>
    <w:rsid w:val="00844B02"/>
    <w:rsid w:val="00850121"/>
    <w:rsid w:val="008508B8"/>
    <w:rsid w:val="008516BA"/>
    <w:rsid w:val="00852D95"/>
    <w:rsid w:val="00855607"/>
    <w:rsid w:val="00861287"/>
    <w:rsid w:val="00866A05"/>
    <w:rsid w:val="0086770F"/>
    <w:rsid w:val="00870E5E"/>
    <w:rsid w:val="008749A9"/>
    <w:rsid w:val="00874AAB"/>
    <w:rsid w:val="00896153"/>
    <w:rsid w:val="008C0CCB"/>
    <w:rsid w:val="008C2074"/>
    <w:rsid w:val="008D2348"/>
    <w:rsid w:val="008D25CF"/>
    <w:rsid w:val="008D2C23"/>
    <w:rsid w:val="008E31BF"/>
    <w:rsid w:val="008E4E8C"/>
    <w:rsid w:val="008F04C0"/>
    <w:rsid w:val="008F05C7"/>
    <w:rsid w:val="008F3896"/>
    <w:rsid w:val="008F3ABC"/>
    <w:rsid w:val="008F455B"/>
    <w:rsid w:val="0090239F"/>
    <w:rsid w:val="00911BE1"/>
    <w:rsid w:val="00912C76"/>
    <w:rsid w:val="00915261"/>
    <w:rsid w:val="00916CAD"/>
    <w:rsid w:val="009244B3"/>
    <w:rsid w:val="00926098"/>
    <w:rsid w:val="0093208E"/>
    <w:rsid w:val="00933273"/>
    <w:rsid w:val="00935248"/>
    <w:rsid w:val="00944E78"/>
    <w:rsid w:val="00945749"/>
    <w:rsid w:val="00947CD3"/>
    <w:rsid w:val="00957A92"/>
    <w:rsid w:val="009636DC"/>
    <w:rsid w:val="00963D08"/>
    <w:rsid w:val="00964FCE"/>
    <w:rsid w:val="00965F1A"/>
    <w:rsid w:val="0096604B"/>
    <w:rsid w:val="00970670"/>
    <w:rsid w:val="00980209"/>
    <w:rsid w:val="0098067E"/>
    <w:rsid w:val="009833B2"/>
    <w:rsid w:val="00986C73"/>
    <w:rsid w:val="00990B58"/>
    <w:rsid w:val="009A2EA4"/>
    <w:rsid w:val="009B11C9"/>
    <w:rsid w:val="009B656D"/>
    <w:rsid w:val="009C68AA"/>
    <w:rsid w:val="009C794E"/>
    <w:rsid w:val="009D026D"/>
    <w:rsid w:val="009D70E7"/>
    <w:rsid w:val="009E0809"/>
    <w:rsid w:val="009E11A6"/>
    <w:rsid w:val="009E2540"/>
    <w:rsid w:val="009E3116"/>
    <w:rsid w:val="009E3FA1"/>
    <w:rsid w:val="009F2DB6"/>
    <w:rsid w:val="009F3034"/>
    <w:rsid w:val="00A1084A"/>
    <w:rsid w:val="00A12494"/>
    <w:rsid w:val="00A12800"/>
    <w:rsid w:val="00A1302A"/>
    <w:rsid w:val="00A13BB2"/>
    <w:rsid w:val="00A175A3"/>
    <w:rsid w:val="00A21BD2"/>
    <w:rsid w:val="00A23190"/>
    <w:rsid w:val="00A43DEB"/>
    <w:rsid w:val="00A44E41"/>
    <w:rsid w:val="00A45A22"/>
    <w:rsid w:val="00A54949"/>
    <w:rsid w:val="00A560A4"/>
    <w:rsid w:val="00A60D03"/>
    <w:rsid w:val="00A61C6E"/>
    <w:rsid w:val="00A61CEE"/>
    <w:rsid w:val="00A62069"/>
    <w:rsid w:val="00A81D53"/>
    <w:rsid w:val="00A848C4"/>
    <w:rsid w:val="00A909F2"/>
    <w:rsid w:val="00A9600D"/>
    <w:rsid w:val="00AA1F7B"/>
    <w:rsid w:val="00AA4D12"/>
    <w:rsid w:val="00AB30BB"/>
    <w:rsid w:val="00AB3990"/>
    <w:rsid w:val="00AB4A4D"/>
    <w:rsid w:val="00AC0E7E"/>
    <w:rsid w:val="00AC27FC"/>
    <w:rsid w:val="00AC32F0"/>
    <w:rsid w:val="00AC6A25"/>
    <w:rsid w:val="00AC6FC2"/>
    <w:rsid w:val="00AD143E"/>
    <w:rsid w:val="00AD5C80"/>
    <w:rsid w:val="00AD7A53"/>
    <w:rsid w:val="00AD7D90"/>
    <w:rsid w:val="00AE436E"/>
    <w:rsid w:val="00AE5DDC"/>
    <w:rsid w:val="00AE6946"/>
    <w:rsid w:val="00AE7560"/>
    <w:rsid w:val="00AF2DE2"/>
    <w:rsid w:val="00AF31A1"/>
    <w:rsid w:val="00B0011F"/>
    <w:rsid w:val="00B01995"/>
    <w:rsid w:val="00B040F2"/>
    <w:rsid w:val="00B15C62"/>
    <w:rsid w:val="00B253DD"/>
    <w:rsid w:val="00B27161"/>
    <w:rsid w:val="00B42153"/>
    <w:rsid w:val="00B45D77"/>
    <w:rsid w:val="00B50382"/>
    <w:rsid w:val="00B64AE2"/>
    <w:rsid w:val="00B76884"/>
    <w:rsid w:val="00B8749F"/>
    <w:rsid w:val="00BA3CEF"/>
    <w:rsid w:val="00BA55C0"/>
    <w:rsid w:val="00BA7E6C"/>
    <w:rsid w:val="00BB4DF2"/>
    <w:rsid w:val="00BC1F05"/>
    <w:rsid w:val="00BC5F90"/>
    <w:rsid w:val="00BD0FAF"/>
    <w:rsid w:val="00BD16B5"/>
    <w:rsid w:val="00BD3F30"/>
    <w:rsid w:val="00BE62B4"/>
    <w:rsid w:val="00BF7DBD"/>
    <w:rsid w:val="00C001EE"/>
    <w:rsid w:val="00C04963"/>
    <w:rsid w:val="00C05748"/>
    <w:rsid w:val="00C06C58"/>
    <w:rsid w:val="00C06D62"/>
    <w:rsid w:val="00C100C7"/>
    <w:rsid w:val="00C100F8"/>
    <w:rsid w:val="00C11F35"/>
    <w:rsid w:val="00C20F3D"/>
    <w:rsid w:val="00C31378"/>
    <w:rsid w:val="00C33495"/>
    <w:rsid w:val="00C3579A"/>
    <w:rsid w:val="00C41C84"/>
    <w:rsid w:val="00C4699B"/>
    <w:rsid w:val="00C51233"/>
    <w:rsid w:val="00C52222"/>
    <w:rsid w:val="00C52657"/>
    <w:rsid w:val="00C663B6"/>
    <w:rsid w:val="00C73038"/>
    <w:rsid w:val="00C75B3A"/>
    <w:rsid w:val="00C82359"/>
    <w:rsid w:val="00C866CB"/>
    <w:rsid w:val="00C86E21"/>
    <w:rsid w:val="00C8791A"/>
    <w:rsid w:val="00C87A41"/>
    <w:rsid w:val="00C90723"/>
    <w:rsid w:val="00CA5E8A"/>
    <w:rsid w:val="00CA6AD9"/>
    <w:rsid w:val="00CA7DDA"/>
    <w:rsid w:val="00CB06D8"/>
    <w:rsid w:val="00CB5799"/>
    <w:rsid w:val="00CC018B"/>
    <w:rsid w:val="00CC447F"/>
    <w:rsid w:val="00CC53E8"/>
    <w:rsid w:val="00CC708E"/>
    <w:rsid w:val="00CD2806"/>
    <w:rsid w:val="00CD4329"/>
    <w:rsid w:val="00CD6054"/>
    <w:rsid w:val="00CE789D"/>
    <w:rsid w:val="00CF3F03"/>
    <w:rsid w:val="00D0111E"/>
    <w:rsid w:val="00D06190"/>
    <w:rsid w:val="00D073DC"/>
    <w:rsid w:val="00D13D90"/>
    <w:rsid w:val="00D22D32"/>
    <w:rsid w:val="00D24897"/>
    <w:rsid w:val="00D30809"/>
    <w:rsid w:val="00D33F11"/>
    <w:rsid w:val="00D354F5"/>
    <w:rsid w:val="00D41BED"/>
    <w:rsid w:val="00D5057C"/>
    <w:rsid w:val="00D55F81"/>
    <w:rsid w:val="00D56152"/>
    <w:rsid w:val="00D61DEB"/>
    <w:rsid w:val="00D660A2"/>
    <w:rsid w:val="00D67347"/>
    <w:rsid w:val="00D67F92"/>
    <w:rsid w:val="00D72497"/>
    <w:rsid w:val="00D76AC0"/>
    <w:rsid w:val="00D85EDF"/>
    <w:rsid w:val="00D945AF"/>
    <w:rsid w:val="00D94643"/>
    <w:rsid w:val="00DA146F"/>
    <w:rsid w:val="00DA2A33"/>
    <w:rsid w:val="00DA326F"/>
    <w:rsid w:val="00DC168B"/>
    <w:rsid w:val="00DC5644"/>
    <w:rsid w:val="00DD0B05"/>
    <w:rsid w:val="00DD1492"/>
    <w:rsid w:val="00DD2118"/>
    <w:rsid w:val="00DD4040"/>
    <w:rsid w:val="00DD6132"/>
    <w:rsid w:val="00DD7D59"/>
    <w:rsid w:val="00DD7D7F"/>
    <w:rsid w:val="00DE0D9A"/>
    <w:rsid w:val="00DE2175"/>
    <w:rsid w:val="00DE3F34"/>
    <w:rsid w:val="00DE7DB5"/>
    <w:rsid w:val="00DF3B6B"/>
    <w:rsid w:val="00E01C13"/>
    <w:rsid w:val="00E06536"/>
    <w:rsid w:val="00E12274"/>
    <w:rsid w:val="00E12385"/>
    <w:rsid w:val="00E13D21"/>
    <w:rsid w:val="00E227B8"/>
    <w:rsid w:val="00E26B92"/>
    <w:rsid w:val="00E35D62"/>
    <w:rsid w:val="00E46AC7"/>
    <w:rsid w:val="00E512CE"/>
    <w:rsid w:val="00E519EA"/>
    <w:rsid w:val="00E56FE6"/>
    <w:rsid w:val="00E63D39"/>
    <w:rsid w:val="00E669D9"/>
    <w:rsid w:val="00E70C0A"/>
    <w:rsid w:val="00E73014"/>
    <w:rsid w:val="00E766EB"/>
    <w:rsid w:val="00E7790C"/>
    <w:rsid w:val="00E77AD9"/>
    <w:rsid w:val="00E820BE"/>
    <w:rsid w:val="00E854A1"/>
    <w:rsid w:val="00E9155C"/>
    <w:rsid w:val="00E952F4"/>
    <w:rsid w:val="00E967E3"/>
    <w:rsid w:val="00EC30FD"/>
    <w:rsid w:val="00EC507E"/>
    <w:rsid w:val="00ED10FA"/>
    <w:rsid w:val="00ED64B7"/>
    <w:rsid w:val="00EE42E6"/>
    <w:rsid w:val="00EF0CD1"/>
    <w:rsid w:val="00F0103A"/>
    <w:rsid w:val="00F0200D"/>
    <w:rsid w:val="00F07FEE"/>
    <w:rsid w:val="00F2045C"/>
    <w:rsid w:val="00F20C60"/>
    <w:rsid w:val="00F55F4A"/>
    <w:rsid w:val="00F56959"/>
    <w:rsid w:val="00F71F8F"/>
    <w:rsid w:val="00F737E2"/>
    <w:rsid w:val="00F73D17"/>
    <w:rsid w:val="00F8112D"/>
    <w:rsid w:val="00F91542"/>
    <w:rsid w:val="00F94EBC"/>
    <w:rsid w:val="00FA325A"/>
    <w:rsid w:val="00FA5E45"/>
    <w:rsid w:val="00FA5EF9"/>
    <w:rsid w:val="00FA6619"/>
    <w:rsid w:val="00FB37BF"/>
    <w:rsid w:val="00FB3FD8"/>
    <w:rsid w:val="00FB5A84"/>
    <w:rsid w:val="00FC34CB"/>
    <w:rsid w:val="00FC6EF4"/>
    <w:rsid w:val="00FD7A7F"/>
    <w:rsid w:val="00FE3509"/>
    <w:rsid w:val="00FF315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F334"/>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table" w:styleId="TableGrid">
    <w:name w:val="Table Grid"/>
    <w:basedOn w:val="TableNormal"/>
    <w:uiPriority w:val="39"/>
    <w:rsid w:val="007D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45C"/>
  </w:style>
  <w:style w:type="paragraph" w:styleId="Footer">
    <w:name w:val="footer"/>
    <w:basedOn w:val="Normal"/>
    <w:link w:val="FooterChar"/>
    <w:uiPriority w:val="99"/>
    <w:unhideWhenUsed/>
    <w:rsid w:val="0084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45C"/>
  </w:style>
  <w:style w:type="paragraph" w:styleId="CommentText">
    <w:name w:val="annotation text"/>
    <w:basedOn w:val="Normal"/>
    <w:link w:val="CommentTextChar"/>
    <w:uiPriority w:val="99"/>
    <w:semiHidden/>
    <w:unhideWhenUsed/>
    <w:rsid w:val="008F04C0"/>
    <w:pPr>
      <w:spacing w:line="240" w:lineRule="auto"/>
    </w:pPr>
    <w:rPr>
      <w:sz w:val="20"/>
      <w:szCs w:val="20"/>
    </w:rPr>
  </w:style>
  <w:style w:type="character" w:customStyle="1" w:styleId="CommentTextChar">
    <w:name w:val="Comment Text Char"/>
    <w:basedOn w:val="DefaultParagraphFont"/>
    <w:link w:val="CommentText"/>
    <w:uiPriority w:val="99"/>
    <w:semiHidden/>
    <w:rsid w:val="008F04C0"/>
    <w:rPr>
      <w:sz w:val="20"/>
      <w:szCs w:val="20"/>
    </w:rPr>
  </w:style>
  <w:style w:type="paragraph" w:customStyle="1" w:styleId="Default">
    <w:name w:val="Default"/>
    <w:rsid w:val="008F389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7928">
      <w:bodyDiv w:val="1"/>
      <w:marLeft w:val="0"/>
      <w:marRight w:val="0"/>
      <w:marTop w:val="0"/>
      <w:marBottom w:val="0"/>
      <w:divBdr>
        <w:top w:val="none" w:sz="0" w:space="0" w:color="auto"/>
        <w:left w:val="none" w:sz="0" w:space="0" w:color="auto"/>
        <w:bottom w:val="none" w:sz="0" w:space="0" w:color="auto"/>
        <w:right w:val="none" w:sz="0" w:space="0" w:color="auto"/>
      </w:divBdr>
    </w:div>
    <w:div w:id="265041787">
      <w:bodyDiv w:val="1"/>
      <w:marLeft w:val="0"/>
      <w:marRight w:val="0"/>
      <w:marTop w:val="0"/>
      <w:marBottom w:val="0"/>
      <w:divBdr>
        <w:top w:val="none" w:sz="0" w:space="0" w:color="auto"/>
        <w:left w:val="none" w:sz="0" w:space="0" w:color="auto"/>
        <w:bottom w:val="none" w:sz="0" w:space="0" w:color="auto"/>
        <w:right w:val="none" w:sz="0" w:space="0" w:color="auto"/>
      </w:divBdr>
    </w:div>
    <w:div w:id="427390523">
      <w:bodyDiv w:val="1"/>
      <w:marLeft w:val="0"/>
      <w:marRight w:val="0"/>
      <w:marTop w:val="0"/>
      <w:marBottom w:val="0"/>
      <w:divBdr>
        <w:top w:val="none" w:sz="0" w:space="0" w:color="auto"/>
        <w:left w:val="none" w:sz="0" w:space="0" w:color="auto"/>
        <w:bottom w:val="none" w:sz="0" w:space="0" w:color="auto"/>
        <w:right w:val="none" w:sz="0" w:space="0" w:color="auto"/>
      </w:divBdr>
    </w:div>
    <w:div w:id="513228697">
      <w:bodyDiv w:val="1"/>
      <w:marLeft w:val="0"/>
      <w:marRight w:val="0"/>
      <w:marTop w:val="0"/>
      <w:marBottom w:val="0"/>
      <w:divBdr>
        <w:top w:val="none" w:sz="0" w:space="0" w:color="auto"/>
        <w:left w:val="none" w:sz="0" w:space="0" w:color="auto"/>
        <w:bottom w:val="none" w:sz="0" w:space="0" w:color="auto"/>
        <w:right w:val="none" w:sz="0" w:space="0" w:color="auto"/>
      </w:divBdr>
    </w:div>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304039914">
      <w:bodyDiv w:val="1"/>
      <w:marLeft w:val="0"/>
      <w:marRight w:val="0"/>
      <w:marTop w:val="0"/>
      <w:marBottom w:val="0"/>
      <w:divBdr>
        <w:top w:val="none" w:sz="0" w:space="0" w:color="auto"/>
        <w:left w:val="none" w:sz="0" w:space="0" w:color="auto"/>
        <w:bottom w:val="none" w:sz="0" w:space="0" w:color="auto"/>
        <w:right w:val="none" w:sz="0" w:space="0" w:color="auto"/>
      </w:divBdr>
    </w:div>
    <w:div w:id="1449741308">
      <w:bodyDiv w:val="1"/>
      <w:marLeft w:val="0"/>
      <w:marRight w:val="0"/>
      <w:marTop w:val="0"/>
      <w:marBottom w:val="0"/>
      <w:divBdr>
        <w:top w:val="none" w:sz="0" w:space="0" w:color="auto"/>
        <w:left w:val="none" w:sz="0" w:space="0" w:color="auto"/>
        <w:bottom w:val="none" w:sz="0" w:space="0" w:color="auto"/>
        <w:right w:val="none" w:sz="0" w:space="0" w:color="auto"/>
      </w:divBdr>
    </w:div>
    <w:div w:id="1494908677">
      <w:bodyDiv w:val="1"/>
      <w:marLeft w:val="0"/>
      <w:marRight w:val="0"/>
      <w:marTop w:val="0"/>
      <w:marBottom w:val="0"/>
      <w:divBdr>
        <w:top w:val="none" w:sz="0" w:space="0" w:color="auto"/>
        <w:left w:val="none" w:sz="0" w:space="0" w:color="auto"/>
        <w:bottom w:val="none" w:sz="0" w:space="0" w:color="auto"/>
        <w:right w:val="none" w:sz="0" w:space="0" w:color="auto"/>
      </w:divBdr>
    </w:div>
    <w:div w:id="1529637984">
      <w:bodyDiv w:val="1"/>
      <w:marLeft w:val="0"/>
      <w:marRight w:val="0"/>
      <w:marTop w:val="0"/>
      <w:marBottom w:val="2250"/>
      <w:divBdr>
        <w:top w:val="none" w:sz="0" w:space="0" w:color="auto"/>
        <w:left w:val="none" w:sz="0" w:space="0" w:color="auto"/>
        <w:bottom w:val="none" w:sz="0" w:space="0" w:color="auto"/>
        <w:right w:val="none" w:sz="0" w:space="0" w:color="auto"/>
      </w:divBdr>
      <w:divsChild>
        <w:div w:id="1340161541">
          <w:marLeft w:val="0"/>
          <w:marRight w:val="0"/>
          <w:marTop w:val="0"/>
          <w:marBottom w:val="0"/>
          <w:divBdr>
            <w:top w:val="none" w:sz="0" w:space="0" w:color="auto"/>
            <w:left w:val="none" w:sz="0" w:space="0" w:color="auto"/>
            <w:bottom w:val="none" w:sz="0" w:space="0" w:color="auto"/>
            <w:right w:val="none" w:sz="0" w:space="0" w:color="auto"/>
          </w:divBdr>
          <w:divsChild>
            <w:div w:id="12659460">
              <w:marLeft w:val="0"/>
              <w:marRight w:val="0"/>
              <w:marTop w:val="0"/>
              <w:marBottom w:val="0"/>
              <w:divBdr>
                <w:top w:val="none" w:sz="0" w:space="0" w:color="auto"/>
                <w:left w:val="none" w:sz="0" w:space="0" w:color="auto"/>
                <w:bottom w:val="none" w:sz="0" w:space="0" w:color="auto"/>
                <w:right w:val="none" w:sz="0" w:space="0" w:color="auto"/>
              </w:divBdr>
              <w:divsChild>
                <w:div w:id="10100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0904">
      <w:bodyDiv w:val="1"/>
      <w:marLeft w:val="0"/>
      <w:marRight w:val="0"/>
      <w:marTop w:val="0"/>
      <w:marBottom w:val="0"/>
      <w:divBdr>
        <w:top w:val="none" w:sz="0" w:space="0" w:color="auto"/>
        <w:left w:val="none" w:sz="0" w:space="0" w:color="auto"/>
        <w:bottom w:val="none" w:sz="0" w:space="0" w:color="auto"/>
        <w:right w:val="none" w:sz="0" w:space="0" w:color="auto"/>
      </w:divBdr>
    </w:div>
    <w:div w:id="21033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2018-07-25T15:26:00Z</cp:lastPrinted>
  <dcterms:created xsi:type="dcterms:W3CDTF">2018-11-02T09:32:00Z</dcterms:created>
  <dcterms:modified xsi:type="dcterms:W3CDTF">2018-11-02T09:32:00Z</dcterms:modified>
</cp:coreProperties>
</file>