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F72" w:rsidRPr="003D570A" w:rsidRDefault="00997775" w:rsidP="00BD16B5">
      <w:pPr>
        <w:jc w:val="center"/>
        <w:rPr>
          <w:b/>
          <w:sz w:val="32"/>
          <w:szCs w:val="32"/>
        </w:rPr>
      </w:pPr>
      <w:bookmarkStart w:id="0" w:name="_GoBack"/>
      <w:bookmarkEnd w:id="0"/>
      <w:r w:rsidRPr="002E5D97">
        <w:rPr>
          <w:noProof/>
          <w:lang w:eastAsia="en-IE"/>
        </w:rPr>
        <w:drawing>
          <wp:inline distT="0" distB="0" distL="0" distR="0" wp14:anchorId="058722F5" wp14:editId="2C54B5B8">
            <wp:extent cx="1666875" cy="128488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I Crest Option 2 for output (0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4449" cy="1313846"/>
                    </a:xfrm>
                    <a:prstGeom prst="rect">
                      <a:avLst/>
                    </a:prstGeom>
                  </pic:spPr>
                </pic:pic>
              </a:graphicData>
            </a:graphic>
          </wp:inline>
        </w:drawing>
      </w:r>
    </w:p>
    <w:p w:rsidR="00E70C0A" w:rsidRPr="003D570A" w:rsidRDefault="00A12494" w:rsidP="00BD16B5">
      <w:pPr>
        <w:jc w:val="center"/>
        <w:rPr>
          <w:b/>
          <w:sz w:val="32"/>
          <w:szCs w:val="32"/>
        </w:rPr>
      </w:pPr>
      <w:r w:rsidRPr="003D570A">
        <w:rPr>
          <w:b/>
          <w:sz w:val="32"/>
          <w:szCs w:val="32"/>
        </w:rPr>
        <w:t>Teachers’ Union of Ireland</w:t>
      </w:r>
    </w:p>
    <w:p w:rsidR="00870E5E" w:rsidRPr="003D570A" w:rsidRDefault="00A12494" w:rsidP="00BD16B5">
      <w:pPr>
        <w:jc w:val="center"/>
        <w:rPr>
          <w:b/>
          <w:sz w:val="32"/>
          <w:szCs w:val="32"/>
        </w:rPr>
      </w:pPr>
      <w:r w:rsidRPr="003D570A">
        <w:rPr>
          <w:b/>
          <w:sz w:val="32"/>
          <w:szCs w:val="32"/>
        </w:rPr>
        <w:t xml:space="preserve">Response to </w:t>
      </w:r>
      <w:r w:rsidR="00997775">
        <w:rPr>
          <w:b/>
          <w:sz w:val="32"/>
          <w:szCs w:val="32"/>
        </w:rPr>
        <w:t xml:space="preserve">DES </w:t>
      </w:r>
      <w:r w:rsidR="009B11C9">
        <w:rPr>
          <w:b/>
          <w:sz w:val="32"/>
          <w:szCs w:val="32"/>
        </w:rPr>
        <w:t>Consultation</w:t>
      </w:r>
      <w:r w:rsidRPr="003D570A">
        <w:rPr>
          <w:b/>
          <w:sz w:val="32"/>
          <w:szCs w:val="32"/>
        </w:rPr>
        <w:t xml:space="preserve"> </w:t>
      </w:r>
      <w:r w:rsidR="00C83C29">
        <w:rPr>
          <w:b/>
          <w:sz w:val="32"/>
          <w:szCs w:val="32"/>
        </w:rPr>
        <w:t>on Three Year Strategy</w:t>
      </w:r>
      <w:r w:rsidR="00422E4E">
        <w:rPr>
          <w:b/>
          <w:sz w:val="32"/>
          <w:szCs w:val="32"/>
        </w:rPr>
        <w:t xml:space="preserve"> 2019-2021</w:t>
      </w:r>
    </w:p>
    <w:p w:rsidR="00A12494" w:rsidRDefault="00A12494" w:rsidP="00BD16B5">
      <w:pPr>
        <w:jc w:val="center"/>
        <w:rPr>
          <w:b/>
          <w:sz w:val="32"/>
          <w:szCs w:val="32"/>
        </w:rPr>
      </w:pPr>
      <w:r w:rsidRPr="003D570A">
        <w:rPr>
          <w:b/>
          <w:sz w:val="32"/>
          <w:szCs w:val="32"/>
        </w:rPr>
        <w:t>(</w:t>
      </w:r>
      <w:r w:rsidR="00422E4E">
        <w:rPr>
          <w:b/>
          <w:sz w:val="32"/>
          <w:szCs w:val="32"/>
        </w:rPr>
        <w:t>December 2018</w:t>
      </w:r>
      <w:r w:rsidRPr="003D570A">
        <w:rPr>
          <w:b/>
          <w:sz w:val="32"/>
          <w:szCs w:val="32"/>
        </w:rPr>
        <w:t>)</w:t>
      </w:r>
    </w:p>
    <w:p w:rsidR="007A5F18" w:rsidRDefault="007A5F18" w:rsidP="00BD16B5">
      <w:pPr>
        <w:jc w:val="center"/>
        <w:rPr>
          <w:b/>
          <w:sz w:val="32"/>
          <w:szCs w:val="32"/>
        </w:rPr>
      </w:pPr>
    </w:p>
    <w:p w:rsidR="008E2D2D" w:rsidRPr="00997775" w:rsidRDefault="004B2784" w:rsidP="00997775">
      <w:pPr>
        <w:spacing w:line="360" w:lineRule="auto"/>
        <w:jc w:val="both"/>
        <w:rPr>
          <w:rFonts w:cs="Arial"/>
          <w:sz w:val="24"/>
          <w:szCs w:val="24"/>
        </w:rPr>
      </w:pPr>
      <w:r w:rsidRPr="00997775">
        <w:rPr>
          <w:rFonts w:cs="Arial"/>
          <w:sz w:val="24"/>
          <w:szCs w:val="24"/>
        </w:rPr>
        <w:t>TUI represents</w:t>
      </w:r>
      <w:r w:rsidR="00FB79CB" w:rsidRPr="00997775">
        <w:rPr>
          <w:rFonts w:cs="Arial"/>
          <w:sz w:val="24"/>
          <w:szCs w:val="24"/>
        </w:rPr>
        <w:t xml:space="preserve"> </w:t>
      </w:r>
      <w:r w:rsidR="00422E4E" w:rsidRPr="00997775">
        <w:rPr>
          <w:rFonts w:cs="Arial"/>
          <w:sz w:val="24"/>
          <w:szCs w:val="24"/>
        </w:rPr>
        <w:t>18</w:t>
      </w:r>
      <w:r w:rsidR="0084145C" w:rsidRPr="00997775">
        <w:rPr>
          <w:rFonts w:cs="Arial"/>
          <w:sz w:val="24"/>
          <w:szCs w:val="24"/>
        </w:rPr>
        <w:t>,000</w:t>
      </w:r>
      <w:r w:rsidRPr="00997775">
        <w:rPr>
          <w:rFonts w:cs="Arial"/>
          <w:sz w:val="24"/>
          <w:szCs w:val="24"/>
        </w:rPr>
        <w:t xml:space="preserve"> </w:t>
      </w:r>
      <w:r w:rsidR="00FB79CB" w:rsidRPr="00997775">
        <w:rPr>
          <w:rFonts w:cs="Arial"/>
          <w:sz w:val="24"/>
          <w:szCs w:val="24"/>
        </w:rPr>
        <w:t xml:space="preserve">members from thirty-five different grades of employment which includes </w:t>
      </w:r>
      <w:r w:rsidRPr="00997775">
        <w:rPr>
          <w:rFonts w:cs="Arial"/>
          <w:sz w:val="24"/>
          <w:szCs w:val="24"/>
        </w:rPr>
        <w:t>teachers</w:t>
      </w:r>
      <w:r w:rsidR="00C83C29" w:rsidRPr="00997775">
        <w:rPr>
          <w:rFonts w:cs="Arial"/>
          <w:sz w:val="24"/>
          <w:szCs w:val="24"/>
        </w:rPr>
        <w:t xml:space="preserve">, tutors, </w:t>
      </w:r>
      <w:r w:rsidR="008E2D2D" w:rsidRPr="00997775">
        <w:rPr>
          <w:rFonts w:cs="Arial"/>
          <w:sz w:val="24"/>
          <w:szCs w:val="24"/>
        </w:rPr>
        <w:t xml:space="preserve">trainers, researchers, </w:t>
      </w:r>
      <w:r w:rsidR="00C83C29" w:rsidRPr="00997775">
        <w:rPr>
          <w:rFonts w:cs="Arial"/>
          <w:sz w:val="24"/>
          <w:szCs w:val="24"/>
        </w:rPr>
        <w:t>lecturers</w:t>
      </w:r>
      <w:r w:rsidR="008E2D2D" w:rsidRPr="00997775">
        <w:rPr>
          <w:rFonts w:cs="Arial"/>
          <w:sz w:val="24"/>
          <w:szCs w:val="24"/>
        </w:rPr>
        <w:t>, coordinators, managers and other educational experts.  Our members are mainly</w:t>
      </w:r>
      <w:r w:rsidRPr="00997775">
        <w:rPr>
          <w:rFonts w:cs="Arial"/>
          <w:sz w:val="24"/>
          <w:szCs w:val="24"/>
        </w:rPr>
        <w:t xml:space="preserve"> </w:t>
      </w:r>
      <w:r w:rsidR="00EE42E6" w:rsidRPr="00997775">
        <w:rPr>
          <w:rFonts w:cs="Arial"/>
          <w:sz w:val="24"/>
          <w:szCs w:val="24"/>
        </w:rPr>
        <w:t>employed by Education an</w:t>
      </w:r>
      <w:r w:rsidR="00C83C29" w:rsidRPr="00997775">
        <w:rPr>
          <w:rFonts w:cs="Arial"/>
          <w:sz w:val="24"/>
          <w:szCs w:val="24"/>
        </w:rPr>
        <w:t xml:space="preserve">d Training Boards (ETBs), </w:t>
      </w:r>
      <w:r w:rsidR="00EE42E6" w:rsidRPr="00997775">
        <w:rPr>
          <w:rFonts w:cs="Arial"/>
          <w:sz w:val="24"/>
          <w:szCs w:val="24"/>
        </w:rPr>
        <w:t>Community and Comprehensive (C&amp;C) Schools</w:t>
      </w:r>
      <w:r w:rsidR="008E2D2D" w:rsidRPr="00997775">
        <w:rPr>
          <w:rFonts w:cs="Arial"/>
          <w:sz w:val="24"/>
          <w:szCs w:val="24"/>
        </w:rPr>
        <w:t xml:space="preserve">, adult education centres, further education which includes Post-Leaving Certificate colleges, institutes of technology and training centres.  </w:t>
      </w:r>
      <w:r w:rsidR="00316E6E">
        <w:rPr>
          <w:rFonts w:cs="Arial"/>
          <w:sz w:val="24"/>
          <w:szCs w:val="24"/>
        </w:rPr>
        <w:t xml:space="preserve">The </w:t>
      </w:r>
      <w:r w:rsidR="008E2D2D" w:rsidRPr="00997775">
        <w:rPr>
          <w:rFonts w:cs="Arial"/>
          <w:sz w:val="24"/>
          <w:szCs w:val="24"/>
        </w:rPr>
        <w:t>TUI also has members in the Garda Training College in Templemore and recruits from private education providers.</w:t>
      </w:r>
    </w:p>
    <w:p w:rsidR="009B11C9" w:rsidRPr="00997775" w:rsidRDefault="00422E4E" w:rsidP="00997775">
      <w:pPr>
        <w:spacing w:line="360" w:lineRule="auto"/>
        <w:jc w:val="both"/>
        <w:rPr>
          <w:rFonts w:cs="Arial"/>
          <w:sz w:val="24"/>
          <w:szCs w:val="24"/>
        </w:rPr>
      </w:pPr>
      <w:r w:rsidRPr="00997775">
        <w:rPr>
          <w:rFonts w:cs="Arial"/>
          <w:sz w:val="24"/>
          <w:szCs w:val="24"/>
        </w:rPr>
        <w:t>In November 2018, t</w:t>
      </w:r>
      <w:r w:rsidR="008E2D2D" w:rsidRPr="00997775">
        <w:rPr>
          <w:rFonts w:cs="Arial"/>
          <w:sz w:val="24"/>
          <w:szCs w:val="24"/>
        </w:rPr>
        <w:t xml:space="preserve">he Minister </w:t>
      </w:r>
      <w:r w:rsidR="00C83C29" w:rsidRPr="00997775">
        <w:rPr>
          <w:rFonts w:cs="Arial"/>
          <w:sz w:val="24"/>
          <w:szCs w:val="24"/>
        </w:rPr>
        <w:t>i</w:t>
      </w:r>
      <w:r w:rsidR="00BF7EF9" w:rsidRPr="00997775">
        <w:rPr>
          <w:rFonts w:cs="Arial"/>
          <w:sz w:val="24"/>
          <w:szCs w:val="24"/>
        </w:rPr>
        <w:t xml:space="preserve">nvited submissions </w:t>
      </w:r>
      <w:r w:rsidR="008E2D2D" w:rsidRPr="00997775">
        <w:rPr>
          <w:rFonts w:cs="Arial"/>
          <w:sz w:val="24"/>
          <w:szCs w:val="24"/>
        </w:rPr>
        <w:t>from education providers and stakeholders relating to</w:t>
      </w:r>
      <w:r w:rsidR="00BF7EF9" w:rsidRPr="00997775">
        <w:rPr>
          <w:rFonts w:cs="Arial"/>
          <w:sz w:val="24"/>
          <w:szCs w:val="24"/>
        </w:rPr>
        <w:t xml:space="preserve"> three-y</w:t>
      </w:r>
      <w:r w:rsidR="00C83C29" w:rsidRPr="00997775">
        <w:rPr>
          <w:rFonts w:cs="Arial"/>
          <w:sz w:val="24"/>
          <w:szCs w:val="24"/>
        </w:rPr>
        <w:t xml:space="preserve">ear strategy.  Enclosed is </w:t>
      </w:r>
      <w:r w:rsidR="00316E6E">
        <w:rPr>
          <w:rFonts w:cs="Arial"/>
          <w:sz w:val="24"/>
          <w:szCs w:val="24"/>
        </w:rPr>
        <w:t xml:space="preserve">the </w:t>
      </w:r>
      <w:r w:rsidR="00C83C29" w:rsidRPr="00997775">
        <w:rPr>
          <w:rFonts w:cs="Arial"/>
          <w:sz w:val="24"/>
          <w:szCs w:val="24"/>
        </w:rPr>
        <w:t xml:space="preserve">TUI’s </w:t>
      </w:r>
      <w:r w:rsidR="008E2D2D" w:rsidRPr="00997775">
        <w:rPr>
          <w:rFonts w:cs="Arial"/>
          <w:sz w:val="24"/>
          <w:szCs w:val="24"/>
        </w:rPr>
        <w:t xml:space="preserve">preliminary </w:t>
      </w:r>
      <w:r w:rsidR="00C83C29" w:rsidRPr="00997775">
        <w:rPr>
          <w:rFonts w:cs="Arial"/>
          <w:sz w:val="24"/>
          <w:szCs w:val="24"/>
        </w:rPr>
        <w:t>submission on that strategy.</w:t>
      </w:r>
      <w:r w:rsidR="002B2B58" w:rsidRPr="00997775">
        <w:rPr>
          <w:rFonts w:cs="Arial"/>
          <w:sz w:val="24"/>
          <w:szCs w:val="24"/>
        </w:rPr>
        <w:t xml:space="preserve"> </w:t>
      </w:r>
      <w:r w:rsidR="00316E6E">
        <w:rPr>
          <w:rFonts w:cs="Arial"/>
          <w:sz w:val="24"/>
          <w:szCs w:val="24"/>
        </w:rPr>
        <w:t xml:space="preserve">The </w:t>
      </w:r>
      <w:r w:rsidR="00BF7EF9" w:rsidRPr="00997775">
        <w:rPr>
          <w:rFonts w:cs="Arial"/>
          <w:sz w:val="24"/>
          <w:szCs w:val="24"/>
        </w:rPr>
        <w:t>TUI wishes to point out that the two-week turnaround time on the call for submissions is very short and more time should have been given for such an important matter.</w:t>
      </w:r>
    </w:p>
    <w:p w:rsidR="005D21F5" w:rsidRPr="00997775" w:rsidRDefault="005D21F5" w:rsidP="00997775">
      <w:pPr>
        <w:spacing w:line="360" w:lineRule="auto"/>
        <w:jc w:val="both"/>
        <w:rPr>
          <w:sz w:val="24"/>
          <w:szCs w:val="24"/>
        </w:rPr>
      </w:pPr>
      <w:r w:rsidRPr="00997775">
        <w:rPr>
          <w:sz w:val="24"/>
          <w:szCs w:val="24"/>
        </w:rPr>
        <w:t>Ireland has an internationally acknowledged, high-</w:t>
      </w:r>
      <w:bookmarkStart w:id="1" w:name="_Hlk502824748"/>
      <w:r w:rsidRPr="00997775">
        <w:rPr>
          <w:sz w:val="24"/>
          <w:szCs w:val="24"/>
        </w:rPr>
        <w:t>performing education system and respected teaching profession (Teaching Council, 2010; OECD, 2013; DES, 2018a; OECD, 2015a; OECD, 2009; NAPD, 2016; Comhairle na nOg, 2017; Growing Up in Ireland, 2017; IPSOS MRBI Trust in the Professions Survey, 2017; Boyle, 2017; Scanlon &amp; McKenna, 2018; EU Commission/EACEA/Eurydice, 2018; Kantar Millward Brown, 2018;</w:t>
      </w:r>
      <w:r w:rsidR="00316E6E">
        <w:rPr>
          <w:sz w:val="24"/>
          <w:szCs w:val="24"/>
        </w:rPr>
        <w:t xml:space="preserve"> Social Progress Initiative</w:t>
      </w:r>
      <w:r w:rsidRPr="00997775">
        <w:rPr>
          <w:sz w:val="24"/>
          <w:szCs w:val="24"/>
        </w:rPr>
        <w:t xml:space="preserve">, 2018; EU Commission, 2018; United Nations Development Programme, 2018; </w:t>
      </w:r>
      <w:r w:rsidRPr="00997775">
        <w:rPr>
          <w:rFonts w:eastAsia="BrandonGrotesque-Regular" w:cs="Arial"/>
          <w:sz w:val="24"/>
          <w:szCs w:val="24"/>
        </w:rPr>
        <w:t>Irish Survey of Student Engagement 2018</w:t>
      </w:r>
      <w:r w:rsidRPr="00997775">
        <w:rPr>
          <w:sz w:val="24"/>
          <w:szCs w:val="24"/>
        </w:rPr>
        <w:t>) despite spending relatively little on education (OECD, 2015</w:t>
      </w:r>
      <w:bookmarkEnd w:id="1"/>
      <w:r w:rsidRPr="00997775">
        <w:rPr>
          <w:sz w:val="24"/>
          <w:szCs w:val="24"/>
        </w:rPr>
        <w:t xml:space="preserve">b; SJI, 2018, NERI, 2018) and historic underinvestment (DES, 2018b).  </w:t>
      </w:r>
      <w:bookmarkStart w:id="2" w:name="_Hlk531297986"/>
      <w:r w:rsidRPr="00997775">
        <w:rPr>
          <w:sz w:val="24"/>
          <w:szCs w:val="24"/>
        </w:rPr>
        <w:t xml:space="preserve">Indeed citizen satisfaction with </w:t>
      </w:r>
      <w:r w:rsidRPr="00997775">
        <w:rPr>
          <w:sz w:val="24"/>
          <w:szCs w:val="24"/>
        </w:rPr>
        <w:lastRenderedPageBreak/>
        <w:t>the education system in Ireland is the highest of any of 22 European countries studied (Boyle, 2018).</w:t>
      </w:r>
      <w:bookmarkEnd w:id="2"/>
    </w:p>
    <w:p w:rsidR="009B11C9" w:rsidRPr="00997775" w:rsidRDefault="009B11C9" w:rsidP="00997775">
      <w:pPr>
        <w:spacing w:line="360" w:lineRule="auto"/>
        <w:jc w:val="both"/>
        <w:rPr>
          <w:rFonts w:cs="Arial"/>
          <w:sz w:val="24"/>
          <w:szCs w:val="24"/>
        </w:rPr>
      </w:pPr>
    </w:p>
    <w:p w:rsidR="0084145C" w:rsidRPr="00997775" w:rsidRDefault="0084145C" w:rsidP="00997775">
      <w:pPr>
        <w:spacing w:line="360" w:lineRule="auto"/>
        <w:jc w:val="both"/>
        <w:rPr>
          <w:rFonts w:cs="Arial"/>
          <w:sz w:val="24"/>
          <w:szCs w:val="24"/>
          <w:u w:val="single"/>
        </w:rPr>
      </w:pPr>
      <w:r w:rsidRPr="00997775">
        <w:rPr>
          <w:rFonts w:cs="Arial"/>
          <w:sz w:val="24"/>
          <w:szCs w:val="24"/>
          <w:u w:val="single"/>
        </w:rPr>
        <w:t>Introduction</w:t>
      </w:r>
    </w:p>
    <w:p w:rsidR="00F94EBC" w:rsidRPr="00997775" w:rsidRDefault="00367268" w:rsidP="00997775">
      <w:pPr>
        <w:spacing w:line="360" w:lineRule="auto"/>
        <w:jc w:val="both"/>
        <w:rPr>
          <w:rFonts w:cs="Arial"/>
          <w:sz w:val="24"/>
          <w:szCs w:val="24"/>
        </w:rPr>
      </w:pPr>
      <w:r w:rsidRPr="00997775">
        <w:rPr>
          <w:rFonts w:cs="Arial"/>
          <w:sz w:val="24"/>
          <w:szCs w:val="24"/>
        </w:rPr>
        <w:t xml:space="preserve">The </w:t>
      </w:r>
      <w:r w:rsidR="00C83C29" w:rsidRPr="00997775">
        <w:rPr>
          <w:rFonts w:cs="Arial"/>
          <w:sz w:val="24"/>
          <w:szCs w:val="24"/>
        </w:rPr>
        <w:t xml:space="preserve">call for submissions seeks views under </w:t>
      </w:r>
      <w:r w:rsidR="00422E4E" w:rsidRPr="00997775">
        <w:rPr>
          <w:rFonts w:cs="Arial"/>
          <w:sz w:val="24"/>
          <w:szCs w:val="24"/>
        </w:rPr>
        <w:t>a number of</w:t>
      </w:r>
      <w:r w:rsidR="00C83C29" w:rsidRPr="00997775">
        <w:rPr>
          <w:rFonts w:cs="Arial"/>
          <w:sz w:val="24"/>
          <w:szCs w:val="24"/>
        </w:rPr>
        <w:t xml:space="preserve"> headings.  </w:t>
      </w:r>
      <w:r w:rsidR="00422E4E" w:rsidRPr="00997775">
        <w:rPr>
          <w:rFonts w:cs="Arial"/>
          <w:sz w:val="24"/>
          <w:szCs w:val="24"/>
        </w:rPr>
        <w:t xml:space="preserve">The </w:t>
      </w:r>
      <w:r w:rsidR="008E2D2D" w:rsidRPr="00997775">
        <w:rPr>
          <w:rFonts w:cs="Arial"/>
          <w:sz w:val="24"/>
          <w:szCs w:val="24"/>
        </w:rPr>
        <w:t>TUI will place emphasis on the headings which are of more relevance to our membership</w:t>
      </w:r>
      <w:r w:rsidR="00C83C29" w:rsidRPr="00997775">
        <w:rPr>
          <w:rFonts w:cs="Arial"/>
          <w:sz w:val="24"/>
          <w:szCs w:val="24"/>
        </w:rPr>
        <w:t xml:space="preserve">.  </w:t>
      </w:r>
      <w:r w:rsidR="008E2D2D" w:rsidRPr="00997775">
        <w:rPr>
          <w:rFonts w:cs="Arial"/>
          <w:sz w:val="24"/>
          <w:szCs w:val="24"/>
        </w:rPr>
        <w:t>While</w:t>
      </w:r>
      <w:r w:rsidR="00C83C29" w:rsidRPr="00997775">
        <w:rPr>
          <w:rFonts w:cs="Arial"/>
          <w:sz w:val="24"/>
          <w:szCs w:val="24"/>
        </w:rPr>
        <w:t xml:space="preserve">, </w:t>
      </w:r>
      <w:r w:rsidR="00422E4E" w:rsidRPr="00997775">
        <w:rPr>
          <w:rFonts w:cs="Arial"/>
          <w:sz w:val="24"/>
          <w:szCs w:val="24"/>
        </w:rPr>
        <w:t xml:space="preserve">the </w:t>
      </w:r>
      <w:r w:rsidR="00C83C29" w:rsidRPr="00997775">
        <w:rPr>
          <w:rFonts w:cs="Arial"/>
          <w:sz w:val="24"/>
          <w:szCs w:val="24"/>
        </w:rPr>
        <w:t>T</w:t>
      </w:r>
      <w:r w:rsidR="008E2D2D" w:rsidRPr="00997775">
        <w:rPr>
          <w:rFonts w:cs="Arial"/>
          <w:sz w:val="24"/>
          <w:szCs w:val="24"/>
        </w:rPr>
        <w:t>U</w:t>
      </w:r>
      <w:r w:rsidR="00C83C29" w:rsidRPr="00997775">
        <w:rPr>
          <w:rFonts w:cs="Arial"/>
          <w:sz w:val="24"/>
          <w:szCs w:val="24"/>
        </w:rPr>
        <w:t xml:space="preserve">I represents </w:t>
      </w:r>
      <w:r w:rsidR="008E2D2D" w:rsidRPr="00997775">
        <w:rPr>
          <w:rFonts w:cs="Arial"/>
          <w:sz w:val="24"/>
          <w:szCs w:val="24"/>
        </w:rPr>
        <w:t>members working in the post-primary and tertiary sectors, the union will also contribute to discussions on the value of a publicly funded education system at all levels</w:t>
      </w:r>
      <w:r w:rsidRPr="00997775">
        <w:rPr>
          <w:rFonts w:cs="Arial"/>
          <w:sz w:val="24"/>
          <w:szCs w:val="24"/>
        </w:rPr>
        <w:t>.</w:t>
      </w:r>
    </w:p>
    <w:p w:rsidR="00C83C29" w:rsidRPr="00997775" w:rsidRDefault="00C83C29" w:rsidP="00997775">
      <w:pPr>
        <w:spacing w:before="100" w:beforeAutospacing="1" w:after="100" w:afterAutospacing="1" w:line="360" w:lineRule="auto"/>
        <w:jc w:val="both"/>
        <w:rPr>
          <w:rFonts w:eastAsia="Times New Roman" w:cs="Arial"/>
          <w:sz w:val="24"/>
          <w:szCs w:val="24"/>
          <w:lang w:val="en"/>
        </w:rPr>
      </w:pPr>
    </w:p>
    <w:p w:rsidR="00C83C29" w:rsidRPr="00997775" w:rsidRDefault="00C83C29" w:rsidP="00997775">
      <w:pPr>
        <w:spacing w:before="100" w:beforeAutospacing="1" w:after="100" w:afterAutospacing="1" w:line="360" w:lineRule="auto"/>
        <w:jc w:val="both"/>
        <w:rPr>
          <w:rFonts w:eastAsia="Times New Roman" w:cs="Arial"/>
          <w:sz w:val="24"/>
          <w:szCs w:val="24"/>
          <w:u w:val="single"/>
          <w:lang w:val="en"/>
        </w:rPr>
      </w:pPr>
      <w:r w:rsidRPr="00997775">
        <w:rPr>
          <w:rFonts w:eastAsia="Times New Roman" w:cs="Arial"/>
          <w:sz w:val="24"/>
          <w:szCs w:val="24"/>
          <w:u w:val="single"/>
          <w:lang w:val="en"/>
        </w:rPr>
        <w:t>Tackling Disadvantage</w:t>
      </w:r>
    </w:p>
    <w:p w:rsidR="0063366D" w:rsidRPr="00997775" w:rsidRDefault="00422E4E" w:rsidP="00997775">
      <w:pPr>
        <w:spacing w:before="100" w:beforeAutospacing="1" w:after="100" w:afterAutospacing="1" w:line="360" w:lineRule="auto"/>
        <w:jc w:val="both"/>
        <w:rPr>
          <w:rFonts w:eastAsia="Times New Roman" w:cs="Arial"/>
          <w:sz w:val="24"/>
          <w:szCs w:val="24"/>
          <w:lang w:val="en"/>
        </w:rPr>
      </w:pPr>
      <w:r w:rsidRPr="00997775">
        <w:rPr>
          <w:rFonts w:eastAsia="Times New Roman" w:cs="Arial"/>
          <w:sz w:val="24"/>
          <w:szCs w:val="24"/>
          <w:lang w:val="en"/>
        </w:rPr>
        <w:t xml:space="preserve">The </w:t>
      </w:r>
      <w:r w:rsidR="00BA4498" w:rsidRPr="00997775">
        <w:rPr>
          <w:rFonts w:eastAsia="Times New Roman" w:cs="Arial"/>
          <w:sz w:val="24"/>
          <w:szCs w:val="24"/>
          <w:lang w:val="en"/>
        </w:rPr>
        <w:t>DEIS programme has been shown to have positive impacts as confirmed by the DES at a briefing on May 23</w:t>
      </w:r>
      <w:r w:rsidR="00BA4498" w:rsidRPr="00997775">
        <w:rPr>
          <w:rFonts w:eastAsia="Times New Roman" w:cs="Arial"/>
          <w:sz w:val="24"/>
          <w:szCs w:val="24"/>
          <w:vertAlign w:val="superscript"/>
          <w:lang w:val="en"/>
        </w:rPr>
        <w:t>rd</w:t>
      </w:r>
      <w:r w:rsidR="00BA4498" w:rsidRPr="00997775">
        <w:rPr>
          <w:rFonts w:eastAsia="Times New Roman" w:cs="Arial"/>
          <w:sz w:val="24"/>
          <w:szCs w:val="24"/>
          <w:lang w:val="en"/>
        </w:rPr>
        <w:t xml:space="preserve"> 2016.  Supports to DEIS schools must be continued.  Some of those supports include a lower pupil-teacher ratio, additional funding, additional access to HSCL support and SCP services.</w:t>
      </w:r>
      <w:r w:rsidR="008E2D2D" w:rsidRPr="00997775">
        <w:rPr>
          <w:rFonts w:eastAsia="Times New Roman" w:cs="Arial"/>
          <w:sz w:val="24"/>
          <w:szCs w:val="24"/>
          <w:lang w:val="en"/>
        </w:rPr>
        <w:t xml:space="preserve">  </w:t>
      </w:r>
      <w:r w:rsidR="0063366D" w:rsidRPr="00997775">
        <w:rPr>
          <w:rFonts w:eastAsia="Times New Roman" w:cs="Arial"/>
          <w:sz w:val="24"/>
          <w:szCs w:val="24"/>
          <w:lang w:val="en"/>
        </w:rPr>
        <w:t>Furthermore, a new mechanism needs to be put in place to support disadvantaged students in which are not designated as DEIS.  A review of the manner in which schools are granted DEIS status should also be undertaken.</w:t>
      </w:r>
      <w:r w:rsidRPr="00997775">
        <w:rPr>
          <w:rFonts w:eastAsia="Times New Roman" w:cs="Arial"/>
          <w:sz w:val="24"/>
          <w:szCs w:val="24"/>
          <w:lang w:val="en"/>
        </w:rPr>
        <w:t xml:space="preserve">  In addition, recent swinging cuts to the School Completion Programme must be reversed as a matter of urgency.</w:t>
      </w:r>
    </w:p>
    <w:p w:rsidR="0063366D" w:rsidRPr="00997775" w:rsidRDefault="0063366D" w:rsidP="00997775">
      <w:pPr>
        <w:spacing w:before="100" w:beforeAutospacing="1" w:after="100" w:afterAutospacing="1" w:line="360" w:lineRule="auto"/>
        <w:jc w:val="both"/>
        <w:rPr>
          <w:rFonts w:eastAsia="Times New Roman" w:cs="Arial"/>
          <w:sz w:val="24"/>
          <w:szCs w:val="24"/>
          <w:lang w:val="en"/>
        </w:rPr>
      </w:pPr>
    </w:p>
    <w:p w:rsidR="00BA4498" w:rsidRDefault="008E2D2D" w:rsidP="00997775">
      <w:pPr>
        <w:spacing w:before="100" w:beforeAutospacing="1" w:after="100" w:afterAutospacing="1" w:line="360" w:lineRule="auto"/>
        <w:jc w:val="both"/>
        <w:rPr>
          <w:rFonts w:eastAsia="Times New Roman" w:cs="Arial"/>
          <w:sz w:val="24"/>
          <w:szCs w:val="24"/>
          <w:lang w:val="en"/>
        </w:rPr>
      </w:pPr>
      <w:r w:rsidRPr="00997775">
        <w:rPr>
          <w:rFonts w:eastAsia="Times New Roman" w:cs="Arial"/>
          <w:sz w:val="24"/>
          <w:szCs w:val="24"/>
          <w:lang w:val="en"/>
        </w:rPr>
        <w:t>TUI b</w:t>
      </w:r>
      <w:r w:rsidR="00763D74" w:rsidRPr="00997775">
        <w:rPr>
          <w:rFonts w:eastAsia="Times New Roman" w:cs="Arial"/>
          <w:sz w:val="24"/>
          <w:szCs w:val="24"/>
          <w:lang w:val="en"/>
        </w:rPr>
        <w:t>elieves that greater efforts sho</w:t>
      </w:r>
      <w:r w:rsidRPr="00997775">
        <w:rPr>
          <w:rFonts w:eastAsia="Times New Roman" w:cs="Arial"/>
          <w:sz w:val="24"/>
          <w:szCs w:val="24"/>
          <w:lang w:val="en"/>
        </w:rPr>
        <w:t>uld be made relating to social inclusion and accom</w:t>
      </w:r>
      <w:r w:rsidR="00763D74" w:rsidRPr="00997775">
        <w:rPr>
          <w:rFonts w:eastAsia="Times New Roman" w:cs="Arial"/>
          <w:sz w:val="24"/>
          <w:szCs w:val="24"/>
          <w:lang w:val="en"/>
        </w:rPr>
        <w:t>m</w:t>
      </w:r>
      <w:r w:rsidRPr="00997775">
        <w:rPr>
          <w:rFonts w:eastAsia="Times New Roman" w:cs="Arial"/>
          <w:sz w:val="24"/>
          <w:szCs w:val="24"/>
          <w:lang w:val="en"/>
        </w:rPr>
        <w:t>odating the needs of new communities an</w:t>
      </w:r>
      <w:r w:rsidR="00763D74" w:rsidRPr="00997775">
        <w:rPr>
          <w:rFonts w:eastAsia="Times New Roman" w:cs="Arial"/>
          <w:sz w:val="24"/>
          <w:szCs w:val="24"/>
          <w:lang w:val="en"/>
        </w:rPr>
        <w:t>d refu</w:t>
      </w:r>
      <w:r w:rsidRPr="00997775">
        <w:rPr>
          <w:rFonts w:eastAsia="Times New Roman" w:cs="Arial"/>
          <w:sz w:val="24"/>
          <w:szCs w:val="24"/>
          <w:lang w:val="en"/>
        </w:rPr>
        <w:t>gees.  To assist teachers, more time, resources and specialised training init</w:t>
      </w:r>
      <w:r w:rsidR="00763D74" w:rsidRPr="00997775">
        <w:rPr>
          <w:rFonts w:eastAsia="Times New Roman" w:cs="Arial"/>
          <w:sz w:val="24"/>
          <w:szCs w:val="24"/>
          <w:lang w:val="en"/>
        </w:rPr>
        <w:t>i</w:t>
      </w:r>
      <w:r w:rsidRPr="00997775">
        <w:rPr>
          <w:rFonts w:eastAsia="Times New Roman" w:cs="Arial"/>
          <w:sz w:val="24"/>
          <w:szCs w:val="24"/>
          <w:lang w:val="en"/>
        </w:rPr>
        <w:t>a</w:t>
      </w:r>
      <w:r w:rsidR="00763D74" w:rsidRPr="00997775">
        <w:rPr>
          <w:rFonts w:eastAsia="Times New Roman" w:cs="Arial"/>
          <w:sz w:val="24"/>
          <w:szCs w:val="24"/>
          <w:lang w:val="en"/>
        </w:rPr>
        <w:t>t</w:t>
      </w:r>
      <w:r w:rsidRPr="00997775">
        <w:rPr>
          <w:rFonts w:eastAsia="Times New Roman" w:cs="Arial"/>
          <w:sz w:val="24"/>
          <w:szCs w:val="24"/>
          <w:lang w:val="en"/>
        </w:rPr>
        <w:t xml:space="preserve">ives are required.  </w:t>
      </w:r>
    </w:p>
    <w:p w:rsidR="00316E6E" w:rsidRPr="00997775" w:rsidRDefault="00316E6E" w:rsidP="00997775">
      <w:pPr>
        <w:spacing w:before="100" w:beforeAutospacing="1" w:after="100" w:afterAutospacing="1" w:line="360" w:lineRule="auto"/>
        <w:jc w:val="both"/>
        <w:rPr>
          <w:rFonts w:eastAsia="Times New Roman" w:cs="Arial"/>
          <w:sz w:val="24"/>
          <w:szCs w:val="24"/>
          <w:lang w:val="en"/>
        </w:rPr>
      </w:pPr>
    </w:p>
    <w:p w:rsidR="00C83C29" w:rsidRPr="00997775" w:rsidRDefault="00C83C29" w:rsidP="00997775">
      <w:pPr>
        <w:spacing w:before="100" w:beforeAutospacing="1" w:after="100" w:afterAutospacing="1" w:line="360" w:lineRule="auto"/>
        <w:jc w:val="both"/>
        <w:rPr>
          <w:rFonts w:eastAsia="Times New Roman" w:cs="Arial"/>
          <w:sz w:val="24"/>
          <w:szCs w:val="24"/>
          <w:u w:val="single"/>
          <w:lang w:val="en"/>
        </w:rPr>
      </w:pPr>
      <w:r w:rsidRPr="00997775">
        <w:rPr>
          <w:rFonts w:eastAsia="Times New Roman" w:cs="Arial"/>
          <w:sz w:val="24"/>
          <w:szCs w:val="24"/>
          <w:u w:val="single"/>
          <w:lang w:val="en"/>
        </w:rPr>
        <w:t>Promoting Excellence and Innovation in Schools</w:t>
      </w:r>
    </w:p>
    <w:p w:rsidR="00762B2C" w:rsidRPr="00997775" w:rsidRDefault="009A4C47" w:rsidP="00997775">
      <w:pPr>
        <w:spacing w:before="100" w:beforeAutospacing="1" w:after="100" w:afterAutospacing="1" w:line="360" w:lineRule="auto"/>
        <w:jc w:val="both"/>
        <w:rPr>
          <w:rFonts w:eastAsia="Times New Roman" w:cs="Arial"/>
          <w:sz w:val="24"/>
          <w:szCs w:val="24"/>
          <w:lang w:val="en"/>
        </w:rPr>
      </w:pPr>
      <w:r w:rsidRPr="00997775">
        <w:rPr>
          <w:rFonts w:eastAsia="Times New Roman" w:cs="Arial"/>
          <w:sz w:val="24"/>
          <w:szCs w:val="24"/>
          <w:lang w:val="en"/>
        </w:rPr>
        <w:t xml:space="preserve">Irish schools have always demonstrated excellence and innovation as seen by </w:t>
      </w:r>
      <w:r w:rsidR="00AC11E4" w:rsidRPr="00997775">
        <w:rPr>
          <w:rFonts w:eastAsia="Times New Roman" w:cs="Arial"/>
          <w:sz w:val="24"/>
          <w:szCs w:val="24"/>
          <w:lang w:val="en"/>
        </w:rPr>
        <w:t>OECD (</w:t>
      </w:r>
      <w:r w:rsidR="00790549" w:rsidRPr="00997775">
        <w:rPr>
          <w:rFonts w:eastAsia="Times New Roman" w:cs="Arial"/>
          <w:sz w:val="24"/>
          <w:szCs w:val="24"/>
          <w:lang w:val="en"/>
        </w:rPr>
        <w:t>2014) and Chief Inspector reports</w:t>
      </w:r>
      <w:r w:rsidR="00AC11E4" w:rsidRPr="00997775">
        <w:rPr>
          <w:rFonts w:eastAsia="Times New Roman" w:cs="Arial"/>
          <w:sz w:val="24"/>
          <w:szCs w:val="24"/>
          <w:lang w:val="en"/>
        </w:rPr>
        <w:t xml:space="preserve"> (</w:t>
      </w:r>
      <w:r w:rsidR="00316E6E">
        <w:rPr>
          <w:rFonts w:eastAsia="Times New Roman" w:cs="Arial"/>
          <w:sz w:val="24"/>
          <w:szCs w:val="24"/>
          <w:lang w:val="en"/>
        </w:rPr>
        <w:t xml:space="preserve">DES, </w:t>
      </w:r>
      <w:r w:rsidR="00910760" w:rsidRPr="00997775">
        <w:rPr>
          <w:rFonts w:eastAsia="Times New Roman" w:cs="Arial"/>
          <w:sz w:val="24"/>
          <w:szCs w:val="24"/>
          <w:lang w:val="en"/>
        </w:rPr>
        <w:t>2013</w:t>
      </w:r>
      <w:r w:rsidR="00316E6E">
        <w:rPr>
          <w:rFonts w:eastAsia="Times New Roman" w:cs="Arial"/>
          <w:sz w:val="24"/>
          <w:szCs w:val="24"/>
          <w:lang w:val="en"/>
        </w:rPr>
        <w:t>; 2018a</w:t>
      </w:r>
      <w:r w:rsidR="00910760" w:rsidRPr="00997775">
        <w:rPr>
          <w:rFonts w:eastAsia="Times New Roman" w:cs="Arial"/>
          <w:sz w:val="24"/>
          <w:szCs w:val="24"/>
          <w:lang w:val="en"/>
        </w:rPr>
        <w:t>)</w:t>
      </w:r>
      <w:r w:rsidR="00790549" w:rsidRPr="00997775">
        <w:rPr>
          <w:rFonts w:eastAsia="Times New Roman" w:cs="Arial"/>
          <w:sz w:val="24"/>
          <w:szCs w:val="24"/>
          <w:lang w:val="en"/>
        </w:rPr>
        <w:t xml:space="preserve">.  This is supported by high levels of parental </w:t>
      </w:r>
      <w:r w:rsidR="00790549" w:rsidRPr="00997775">
        <w:rPr>
          <w:rFonts w:eastAsia="Times New Roman" w:cs="Arial"/>
          <w:sz w:val="24"/>
          <w:szCs w:val="24"/>
          <w:lang w:val="en"/>
        </w:rPr>
        <w:lastRenderedPageBreak/>
        <w:t>trust in, and support for, the Irish education system (OECD, 2013).</w:t>
      </w:r>
      <w:r w:rsidR="00910760" w:rsidRPr="00997775">
        <w:rPr>
          <w:rFonts w:eastAsia="Times New Roman" w:cs="Arial"/>
          <w:sz w:val="24"/>
          <w:szCs w:val="24"/>
          <w:lang w:val="en"/>
        </w:rPr>
        <w:t xml:space="preserve">  However, the Irish system has suffered well-meaning </w:t>
      </w:r>
      <w:r w:rsidR="00AC11E4" w:rsidRPr="00997775">
        <w:rPr>
          <w:rFonts w:eastAsia="Times New Roman" w:cs="Arial"/>
          <w:sz w:val="24"/>
          <w:szCs w:val="24"/>
          <w:lang w:val="en"/>
        </w:rPr>
        <w:t>‘</w:t>
      </w:r>
      <w:r w:rsidR="00910760" w:rsidRPr="00997775">
        <w:rPr>
          <w:rFonts w:eastAsia="Times New Roman" w:cs="Arial"/>
          <w:sz w:val="24"/>
          <w:szCs w:val="24"/>
          <w:lang w:val="en"/>
        </w:rPr>
        <w:t>initiativitis</w:t>
      </w:r>
      <w:r w:rsidR="00AC11E4" w:rsidRPr="00997775">
        <w:rPr>
          <w:rFonts w:eastAsia="Times New Roman" w:cs="Arial"/>
          <w:sz w:val="24"/>
          <w:szCs w:val="24"/>
          <w:lang w:val="en"/>
        </w:rPr>
        <w:t>’ (Fullan, 2008)</w:t>
      </w:r>
      <w:r w:rsidR="00910760" w:rsidRPr="00997775">
        <w:rPr>
          <w:rFonts w:eastAsia="Times New Roman" w:cs="Arial"/>
          <w:sz w:val="24"/>
          <w:szCs w:val="24"/>
          <w:lang w:val="en"/>
        </w:rPr>
        <w:t xml:space="preserve">.  </w:t>
      </w:r>
      <w:r w:rsidR="00422E4E" w:rsidRPr="00997775">
        <w:rPr>
          <w:rFonts w:eastAsia="Times New Roman" w:cs="Arial"/>
          <w:sz w:val="24"/>
          <w:szCs w:val="24"/>
          <w:lang w:val="en"/>
        </w:rPr>
        <w:t xml:space="preserve">The </w:t>
      </w:r>
      <w:r w:rsidR="00910760" w:rsidRPr="00997775">
        <w:rPr>
          <w:rFonts w:eastAsia="Times New Roman" w:cs="Arial"/>
          <w:sz w:val="24"/>
          <w:szCs w:val="24"/>
          <w:lang w:val="en"/>
        </w:rPr>
        <w:t>TUI believes that many of these initiatives are positive, but must emphasise that it is not possible to successfully embed all</w:t>
      </w:r>
      <w:r w:rsidR="00AC11E4" w:rsidRPr="00997775">
        <w:rPr>
          <w:rFonts w:eastAsia="Times New Roman" w:cs="Arial"/>
          <w:sz w:val="24"/>
          <w:szCs w:val="24"/>
          <w:lang w:val="en"/>
        </w:rPr>
        <w:t xml:space="preserve"> of these new initiatives at the same</w:t>
      </w:r>
      <w:r w:rsidR="00910760" w:rsidRPr="00997775">
        <w:rPr>
          <w:rFonts w:eastAsia="Times New Roman" w:cs="Arial"/>
          <w:sz w:val="24"/>
          <w:szCs w:val="24"/>
          <w:lang w:val="en"/>
        </w:rPr>
        <w:t xml:space="preserve"> time</w:t>
      </w:r>
      <w:r w:rsidR="00AC11E4" w:rsidRPr="00997775">
        <w:rPr>
          <w:rFonts w:eastAsia="Times New Roman" w:cs="Arial"/>
          <w:sz w:val="24"/>
          <w:szCs w:val="24"/>
          <w:lang w:val="en"/>
        </w:rPr>
        <w:t xml:space="preserve"> whilst the sectors are subject to extensive austerity measures</w:t>
      </w:r>
      <w:r w:rsidR="00910760" w:rsidRPr="00997775">
        <w:rPr>
          <w:rFonts w:eastAsia="Times New Roman" w:cs="Arial"/>
          <w:sz w:val="24"/>
          <w:szCs w:val="24"/>
          <w:lang w:val="en"/>
        </w:rPr>
        <w:t xml:space="preserve">.  </w:t>
      </w:r>
    </w:p>
    <w:p w:rsidR="00762B2C" w:rsidRPr="00997775" w:rsidRDefault="00762B2C" w:rsidP="00997775">
      <w:pPr>
        <w:spacing w:before="100" w:beforeAutospacing="1" w:after="100" w:afterAutospacing="1" w:line="360" w:lineRule="auto"/>
        <w:jc w:val="both"/>
        <w:rPr>
          <w:rFonts w:eastAsia="Times New Roman" w:cs="Arial"/>
          <w:sz w:val="24"/>
          <w:szCs w:val="24"/>
          <w:lang w:val="en"/>
        </w:rPr>
      </w:pPr>
    </w:p>
    <w:p w:rsidR="00D014F6" w:rsidRPr="00997775" w:rsidRDefault="00C83C29" w:rsidP="00997775">
      <w:pPr>
        <w:spacing w:before="100" w:beforeAutospacing="1" w:after="100" w:afterAutospacing="1" w:line="360" w:lineRule="auto"/>
        <w:jc w:val="both"/>
        <w:rPr>
          <w:rFonts w:eastAsia="Times New Roman" w:cs="Arial"/>
          <w:sz w:val="24"/>
          <w:szCs w:val="24"/>
          <w:u w:val="single"/>
          <w:lang w:val="en"/>
        </w:rPr>
      </w:pPr>
      <w:r w:rsidRPr="00997775">
        <w:rPr>
          <w:rFonts w:eastAsia="Times New Roman" w:cs="Arial"/>
          <w:sz w:val="24"/>
          <w:szCs w:val="24"/>
          <w:u w:val="single"/>
          <w:lang w:val="en"/>
        </w:rPr>
        <w:t>Promoting Creativity and Entrepreneurial Capacity in Students</w:t>
      </w:r>
    </w:p>
    <w:p w:rsidR="00762B2C" w:rsidRPr="00997775" w:rsidRDefault="00762B2C" w:rsidP="00997775">
      <w:pPr>
        <w:spacing w:before="100" w:beforeAutospacing="1" w:after="100" w:afterAutospacing="1" w:line="360" w:lineRule="auto"/>
        <w:jc w:val="both"/>
        <w:rPr>
          <w:rFonts w:eastAsia="Times New Roman" w:cs="Arial"/>
          <w:sz w:val="24"/>
          <w:szCs w:val="24"/>
          <w:lang w:val="en"/>
        </w:rPr>
      </w:pPr>
      <w:r w:rsidRPr="00997775">
        <w:rPr>
          <w:rFonts w:eastAsia="Times New Roman" w:cs="Arial"/>
          <w:sz w:val="24"/>
          <w:szCs w:val="24"/>
          <w:lang w:val="en"/>
        </w:rPr>
        <w:t>Irish schools have a long history of promoting creativity and entrepreneurial capacity in students.  Indeed, schools themselves demonstrate significant social entrepreneurial capacity in the methods they must resort to provide basic resources to their students.  Access to essential support services also often requires entrepreneurial expertise and ingenuity as those support services are themselves significantly underfunded (Children’s Rights Alliance, 2015).  Entreprene</w:t>
      </w:r>
      <w:r w:rsidR="006D2A92" w:rsidRPr="00997775">
        <w:rPr>
          <w:rFonts w:eastAsia="Times New Roman" w:cs="Arial"/>
          <w:sz w:val="24"/>
          <w:szCs w:val="24"/>
          <w:lang w:val="en"/>
        </w:rPr>
        <w:t>urial spirit is imbued in studen</w:t>
      </w:r>
      <w:r w:rsidRPr="00997775">
        <w:rPr>
          <w:rFonts w:eastAsia="Times New Roman" w:cs="Arial"/>
          <w:sz w:val="24"/>
          <w:szCs w:val="24"/>
          <w:lang w:val="en"/>
        </w:rPr>
        <w:t>ts through whole-school events and through subject specific ways e.g. the Junior Cycle and S</w:t>
      </w:r>
      <w:r w:rsidR="00522B53" w:rsidRPr="00997775">
        <w:rPr>
          <w:rFonts w:eastAsia="Times New Roman" w:cs="Arial"/>
          <w:sz w:val="24"/>
          <w:szCs w:val="24"/>
          <w:lang w:val="en"/>
        </w:rPr>
        <w:t>enior Cycle Business programmes</w:t>
      </w:r>
      <w:r w:rsidRPr="00997775">
        <w:rPr>
          <w:rFonts w:eastAsia="Times New Roman" w:cs="Arial"/>
          <w:sz w:val="24"/>
          <w:szCs w:val="24"/>
          <w:lang w:val="en"/>
        </w:rPr>
        <w:t xml:space="preserve"> as well as TY/LCVP/LCA course material.  Oftent</w:t>
      </w:r>
      <w:r w:rsidR="004224BF" w:rsidRPr="00997775">
        <w:rPr>
          <w:rFonts w:eastAsia="Times New Roman" w:cs="Arial"/>
          <w:sz w:val="24"/>
          <w:szCs w:val="24"/>
          <w:lang w:val="en"/>
        </w:rPr>
        <w:t xml:space="preserve">imes the importance of enterprise </w:t>
      </w:r>
      <w:r w:rsidR="006D2A92" w:rsidRPr="00997775">
        <w:rPr>
          <w:rFonts w:eastAsia="Times New Roman" w:cs="Arial"/>
          <w:sz w:val="24"/>
          <w:szCs w:val="24"/>
          <w:lang w:val="en"/>
        </w:rPr>
        <w:t>is also highlighted through extra-curricular activities undertaken by teachers for no reward e.g. Young Entrepreneurs.  Further development in the area of enterprise education will take place as pa</w:t>
      </w:r>
      <w:r w:rsidR="00BF7EF9" w:rsidRPr="00997775">
        <w:rPr>
          <w:rFonts w:eastAsia="Times New Roman" w:cs="Arial"/>
          <w:sz w:val="24"/>
          <w:szCs w:val="24"/>
          <w:lang w:val="en"/>
        </w:rPr>
        <w:t xml:space="preserve">rt of the revised Junior </w:t>
      </w:r>
      <w:r w:rsidR="00522B53" w:rsidRPr="00997775">
        <w:rPr>
          <w:rFonts w:eastAsia="Times New Roman" w:cs="Arial"/>
          <w:sz w:val="24"/>
          <w:szCs w:val="24"/>
          <w:lang w:val="en"/>
        </w:rPr>
        <w:t>Certificate</w:t>
      </w:r>
      <w:r w:rsidR="006D2A92" w:rsidRPr="00997775">
        <w:rPr>
          <w:rFonts w:eastAsia="Times New Roman" w:cs="Arial"/>
          <w:sz w:val="24"/>
          <w:szCs w:val="24"/>
          <w:lang w:val="en"/>
        </w:rPr>
        <w:t>.</w:t>
      </w:r>
      <w:r w:rsidR="00522B53" w:rsidRPr="00997775">
        <w:rPr>
          <w:rFonts w:eastAsia="Times New Roman" w:cs="Arial"/>
          <w:sz w:val="24"/>
          <w:szCs w:val="24"/>
          <w:lang w:val="en"/>
        </w:rPr>
        <w:t xml:space="preserve">  </w:t>
      </w:r>
      <w:r w:rsidR="00316E6E">
        <w:rPr>
          <w:rFonts w:eastAsia="Times New Roman" w:cs="Arial"/>
          <w:sz w:val="24"/>
          <w:szCs w:val="24"/>
          <w:lang w:val="en"/>
        </w:rPr>
        <w:t xml:space="preserve">The </w:t>
      </w:r>
      <w:r w:rsidR="00522B53" w:rsidRPr="00997775">
        <w:rPr>
          <w:rFonts w:eastAsia="Times New Roman" w:cs="Arial"/>
          <w:sz w:val="24"/>
          <w:szCs w:val="24"/>
          <w:lang w:val="en"/>
        </w:rPr>
        <w:t>TUI encourages members to engage in European Commission projects such as Erasmus+ which contribute to building entrepreneurial cap</w:t>
      </w:r>
      <w:r w:rsidR="00422E4E" w:rsidRPr="00997775">
        <w:rPr>
          <w:rFonts w:eastAsia="Times New Roman" w:cs="Arial"/>
          <w:sz w:val="24"/>
          <w:szCs w:val="24"/>
          <w:lang w:val="en"/>
        </w:rPr>
        <w:t>a</w:t>
      </w:r>
      <w:r w:rsidR="00522B53" w:rsidRPr="00997775">
        <w:rPr>
          <w:rFonts w:eastAsia="Times New Roman" w:cs="Arial"/>
          <w:sz w:val="24"/>
          <w:szCs w:val="24"/>
          <w:lang w:val="en"/>
        </w:rPr>
        <w:t>city.</w:t>
      </w:r>
    </w:p>
    <w:p w:rsidR="006D2A92" w:rsidRPr="00997775" w:rsidRDefault="006D2A92" w:rsidP="00997775">
      <w:pPr>
        <w:spacing w:before="100" w:beforeAutospacing="1" w:after="100" w:afterAutospacing="1" w:line="360" w:lineRule="auto"/>
        <w:jc w:val="both"/>
        <w:rPr>
          <w:rFonts w:eastAsia="Times New Roman" w:cs="Arial"/>
          <w:sz w:val="24"/>
          <w:szCs w:val="24"/>
          <w:lang w:val="en"/>
        </w:rPr>
      </w:pPr>
    </w:p>
    <w:p w:rsidR="00C83C29" w:rsidRPr="00997775" w:rsidRDefault="00C83C29" w:rsidP="00997775">
      <w:pPr>
        <w:spacing w:before="100" w:beforeAutospacing="1" w:after="100" w:afterAutospacing="1" w:line="360" w:lineRule="auto"/>
        <w:jc w:val="both"/>
        <w:rPr>
          <w:rFonts w:eastAsia="Times New Roman" w:cs="Arial"/>
          <w:sz w:val="24"/>
          <w:szCs w:val="24"/>
          <w:u w:val="single"/>
          <w:lang w:val="en"/>
        </w:rPr>
      </w:pPr>
      <w:r w:rsidRPr="00997775">
        <w:rPr>
          <w:rFonts w:eastAsia="Times New Roman" w:cs="Arial"/>
          <w:sz w:val="24"/>
          <w:szCs w:val="24"/>
          <w:u w:val="single"/>
          <w:lang w:val="en"/>
        </w:rPr>
        <w:t>Making B</w:t>
      </w:r>
      <w:r w:rsidR="006D2A92" w:rsidRPr="00997775">
        <w:rPr>
          <w:rFonts w:eastAsia="Times New Roman" w:cs="Arial"/>
          <w:sz w:val="24"/>
          <w:szCs w:val="24"/>
          <w:u w:val="single"/>
          <w:lang w:val="en"/>
        </w:rPr>
        <w:t>etter U</w:t>
      </w:r>
      <w:r w:rsidRPr="00997775">
        <w:rPr>
          <w:rFonts w:eastAsia="Times New Roman" w:cs="Arial"/>
          <w:sz w:val="24"/>
          <w:szCs w:val="24"/>
          <w:u w:val="single"/>
          <w:lang w:val="en"/>
        </w:rPr>
        <w:t>se of Educational Assets within Communities</w:t>
      </w:r>
    </w:p>
    <w:p w:rsidR="006D2A92" w:rsidRPr="00997775" w:rsidRDefault="00422E4E" w:rsidP="00997775">
      <w:pPr>
        <w:spacing w:before="100" w:beforeAutospacing="1" w:after="100" w:afterAutospacing="1" w:line="360" w:lineRule="auto"/>
        <w:jc w:val="both"/>
        <w:rPr>
          <w:rFonts w:eastAsia="Times New Roman" w:cs="Arial"/>
          <w:sz w:val="24"/>
          <w:szCs w:val="24"/>
          <w:lang w:val="en"/>
        </w:rPr>
      </w:pPr>
      <w:r w:rsidRPr="00997775">
        <w:rPr>
          <w:rFonts w:eastAsia="Times New Roman" w:cs="Arial"/>
          <w:sz w:val="24"/>
          <w:szCs w:val="24"/>
          <w:lang w:val="en"/>
        </w:rPr>
        <w:t xml:space="preserve">The </w:t>
      </w:r>
      <w:r w:rsidR="006D2A92" w:rsidRPr="00997775">
        <w:rPr>
          <w:rFonts w:eastAsia="Times New Roman" w:cs="Arial"/>
          <w:sz w:val="24"/>
          <w:szCs w:val="24"/>
          <w:lang w:val="en"/>
        </w:rPr>
        <w:t xml:space="preserve">TUI represents </w:t>
      </w:r>
      <w:r w:rsidR="00712425" w:rsidRPr="00997775">
        <w:rPr>
          <w:rFonts w:eastAsia="Times New Roman" w:cs="Arial"/>
          <w:sz w:val="24"/>
          <w:szCs w:val="24"/>
          <w:lang w:val="en"/>
        </w:rPr>
        <w:t>members</w:t>
      </w:r>
      <w:r w:rsidR="006D2A92" w:rsidRPr="00997775">
        <w:rPr>
          <w:rFonts w:eastAsia="Times New Roman" w:cs="Arial"/>
          <w:sz w:val="24"/>
          <w:szCs w:val="24"/>
          <w:lang w:val="en"/>
        </w:rPr>
        <w:t xml:space="preserve"> in community schools and community colleges.  </w:t>
      </w:r>
      <w:r w:rsidRPr="00997775">
        <w:rPr>
          <w:rFonts w:eastAsia="Times New Roman" w:cs="Arial"/>
          <w:sz w:val="24"/>
          <w:szCs w:val="24"/>
          <w:lang w:val="en"/>
        </w:rPr>
        <w:t xml:space="preserve">The </w:t>
      </w:r>
      <w:r w:rsidR="006D2A92" w:rsidRPr="00997775">
        <w:rPr>
          <w:rFonts w:eastAsia="Times New Roman" w:cs="Arial"/>
          <w:sz w:val="24"/>
          <w:szCs w:val="24"/>
          <w:lang w:val="en"/>
        </w:rPr>
        <w:t xml:space="preserve">TUI believes that these schools take the term ‘community’ very seriously and that the schools engaging meaningfully with the wider community.  Examples of this include schools opening at weekends to host small local religious groups to host services, or the community schools/colleges which have PE facilities onsite which are available to the local community in evenings or on weekends.  Sadly, during the recent </w:t>
      </w:r>
      <w:r w:rsidR="00712425" w:rsidRPr="00997775">
        <w:rPr>
          <w:rFonts w:eastAsia="Times New Roman" w:cs="Arial"/>
          <w:sz w:val="24"/>
          <w:szCs w:val="24"/>
          <w:lang w:val="en"/>
        </w:rPr>
        <w:t>austerity period</w:t>
      </w:r>
      <w:r w:rsidR="006D2A92" w:rsidRPr="00997775">
        <w:rPr>
          <w:rFonts w:eastAsia="Times New Roman" w:cs="Arial"/>
          <w:sz w:val="24"/>
          <w:szCs w:val="24"/>
          <w:lang w:val="en"/>
        </w:rPr>
        <w:t xml:space="preserve">, funding for these sports facilities were cut and in a number of cases funding only became available for the facilities to </w:t>
      </w:r>
      <w:r w:rsidR="006D2A92" w:rsidRPr="00997775">
        <w:rPr>
          <w:rFonts w:eastAsia="Times New Roman" w:cs="Arial"/>
          <w:sz w:val="24"/>
          <w:szCs w:val="24"/>
          <w:lang w:val="en"/>
        </w:rPr>
        <w:lastRenderedPageBreak/>
        <w:t xml:space="preserve">open during the school day – despite the protestations of the schools who wanted the facilities to be open much longer.  </w:t>
      </w:r>
      <w:r w:rsidRPr="00997775">
        <w:rPr>
          <w:rFonts w:eastAsia="Times New Roman" w:cs="Arial"/>
          <w:sz w:val="24"/>
          <w:szCs w:val="24"/>
          <w:lang w:val="en"/>
        </w:rPr>
        <w:t xml:space="preserve">The </w:t>
      </w:r>
      <w:r w:rsidR="006D2A92" w:rsidRPr="00997775">
        <w:rPr>
          <w:rFonts w:eastAsia="Times New Roman" w:cs="Arial"/>
          <w:sz w:val="24"/>
          <w:szCs w:val="24"/>
          <w:lang w:val="en"/>
        </w:rPr>
        <w:t>TUI would be very pleased to hear that the</w:t>
      </w:r>
      <w:r w:rsidR="00BF7EF9" w:rsidRPr="00997775">
        <w:rPr>
          <w:rFonts w:eastAsia="Times New Roman" w:cs="Arial"/>
          <w:sz w:val="24"/>
          <w:szCs w:val="24"/>
          <w:lang w:val="en"/>
        </w:rPr>
        <w:t xml:space="preserve"> DES</w:t>
      </w:r>
      <w:r w:rsidR="006D2A92" w:rsidRPr="00997775">
        <w:rPr>
          <w:rFonts w:eastAsia="Times New Roman" w:cs="Arial"/>
          <w:sz w:val="24"/>
          <w:szCs w:val="24"/>
          <w:lang w:val="en"/>
        </w:rPr>
        <w:t xml:space="preserve"> is willing to extend funding to schools to enable the payment of </w:t>
      </w:r>
      <w:r w:rsidR="00712425" w:rsidRPr="00997775">
        <w:rPr>
          <w:rFonts w:eastAsia="Times New Roman" w:cs="Arial"/>
          <w:sz w:val="24"/>
          <w:szCs w:val="24"/>
          <w:lang w:val="en"/>
        </w:rPr>
        <w:t>utilities</w:t>
      </w:r>
      <w:r w:rsidR="006D2A92" w:rsidRPr="00997775">
        <w:rPr>
          <w:rFonts w:eastAsia="Times New Roman" w:cs="Arial"/>
          <w:sz w:val="24"/>
          <w:szCs w:val="24"/>
          <w:lang w:val="en"/>
        </w:rPr>
        <w:t>, insurance and staffing which are required to allow schools to open longer.  It would not be acceptable for the DES to ask schools to take on additional costs without a commitment from the DES to fund the full cost of same.</w:t>
      </w:r>
    </w:p>
    <w:p w:rsidR="006D2A92" w:rsidRPr="00997775" w:rsidRDefault="006D2A92" w:rsidP="00997775">
      <w:pPr>
        <w:spacing w:before="100" w:beforeAutospacing="1" w:after="100" w:afterAutospacing="1" w:line="360" w:lineRule="auto"/>
        <w:jc w:val="both"/>
        <w:rPr>
          <w:rFonts w:eastAsia="Times New Roman" w:cs="Arial"/>
          <w:sz w:val="24"/>
          <w:szCs w:val="24"/>
          <w:lang w:val="en"/>
        </w:rPr>
      </w:pPr>
    </w:p>
    <w:p w:rsidR="00C83C29" w:rsidRPr="00997775" w:rsidRDefault="00C83C29" w:rsidP="00997775">
      <w:pPr>
        <w:spacing w:before="100" w:beforeAutospacing="1" w:after="100" w:afterAutospacing="1" w:line="360" w:lineRule="auto"/>
        <w:jc w:val="both"/>
        <w:rPr>
          <w:rFonts w:eastAsia="Times New Roman" w:cs="Arial"/>
          <w:sz w:val="24"/>
          <w:szCs w:val="24"/>
          <w:u w:val="single"/>
          <w:lang w:val="en"/>
        </w:rPr>
      </w:pPr>
      <w:r w:rsidRPr="00997775">
        <w:rPr>
          <w:rFonts w:eastAsia="Times New Roman" w:cs="Arial"/>
          <w:sz w:val="24"/>
          <w:szCs w:val="24"/>
          <w:u w:val="single"/>
          <w:lang w:val="en"/>
        </w:rPr>
        <w:t>Special Needs Education</w:t>
      </w:r>
    </w:p>
    <w:p w:rsidR="00474B52" w:rsidRDefault="006928E9" w:rsidP="00997775">
      <w:pPr>
        <w:spacing w:line="360" w:lineRule="auto"/>
        <w:jc w:val="both"/>
        <w:rPr>
          <w:rFonts w:cs="Arial"/>
          <w:sz w:val="24"/>
          <w:szCs w:val="24"/>
        </w:rPr>
      </w:pPr>
      <w:r>
        <w:rPr>
          <w:rFonts w:eastAsia="Times New Roman" w:cs="Arial"/>
          <w:sz w:val="24"/>
          <w:szCs w:val="24"/>
          <w:lang w:val="en"/>
        </w:rPr>
        <w:t xml:space="preserve">The </w:t>
      </w:r>
      <w:r w:rsidR="00474B52" w:rsidRPr="00997775">
        <w:rPr>
          <w:rFonts w:eastAsia="Times New Roman" w:cs="Arial"/>
          <w:sz w:val="24"/>
          <w:szCs w:val="24"/>
          <w:lang w:val="en"/>
        </w:rPr>
        <w:t>TUI has repe</w:t>
      </w:r>
      <w:r w:rsidR="00ED4222" w:rsidRPr="00997775">
        <w:rPr>
          <w:rFonts w:eastAsia="Times New Roman" w:cs="Arial"/>
          <w:sz w:val="24"/>
          <w:szCs w:val="24"/>
          <w:lang w:val="en"/>
        </w:rPr>
        <w:t>atedly asked the D</w:t>
      </w:r>
      <w:r w:rsidR="00474B52" w:rsidRPr="00997775">
        <w:rPr>
          <w:rFonts w:eastAsia="Times New Roman" w:cs="Arial"/>
          <w:sz w:val="24"/>
          <w:szCs w:val="24"/>
          <w:lang w:val="en"/>
        </w:rPr>
        <w:t>ES</w:t>
      </w:r>
      <w:r w:rsidR="00ED4222" w:rsidRPr="00997775">
        <w:rPr>
          <w:rFonts w:eastAsia="Times New Roman" w:cs="Arial"/>
          <w:sz w:val="24"/>
          <w:szCs w:val="24"/>
          <w:lang w:val="en"/>
        </w:rPr>
        <w:t xml:space="preserve"> to fund the implementation of the EPSEN Act.</w:t>
      </w:r>
      <w:r w:rsidR="00422E4E" w:rsidRPr="00997775">
        <w:rPr>
          <w:rFonts w:eastAsia="Times New Roman" w:cs="Arial"/>
          <w:sz w:val="24"/>
          <w:szCs w:val="24"/>
          <w:lang w:val="en"/>
        </w:rPr>
        <w:t xml:space="preserve">  As recently as January 2018</w:t>
      </w:r>
      <w:r w:rsidR="00474B52" w:rsidRPr="00997775">
        <w:rPr>
          <w:rFonts w:eastAsia="Times New Roman" w:cs="Arial"/>
          <w:sz w:val="24"/>
          <w:szCs w:val="24"/>
          <w:lang w:val="en"/>
        </w:rPr>
        <w:t xml:space="preserve">, </w:t>
      </w:r>
      <w:r w:rsidR="00422E4E" w:rsidRPr="00997775">
        <w:rPr>
          <w:rFonts w:eastAsia="Times New Roman" w:cs="Arial"/>
          <w:sz w:val="24"/>
          <w:szCs w:val="24"/>
          <w:lang w:val="en"/>
        </w:rPr>
        <w:t xml:space="preserve">the </w:t>
      </w:r>
      <w:r w:rsidR="00474B52" w:rsidRPr="00997775">
        <w:rPr>
          <w:rFonts w:eastAsia="Times New Roman" w:cs="Arial"/>
          <w:sz w:val="24"/>
          <w:szCs w:val="24"/>
          <w:lang w:val="en"/>
        </w:rPr>
        <w:t xml:space="preserve">TUI was informed by the DES that the necessary funding was not available and no timeline could be offered as to when the necessary funding might be available.  </w:t>
      </w:r>
      <w:r w:rsidR="00422E4E" w:rsidRPr="00997775">
        <w:rPr>
          <w:rFonts w:eastAsia="Times New Roman" w:cs="Arial"/>
          <w:sz w:val="24"/>
          <w:szCs w:val="24"/>
          <w:lang w:val="en"/>
        </w:rPr>
        <w:t xml:space="preserve">The </w:t>
      </w:r>
      <w:r w:rsidR="00474B52" w:rsidRPr="00997775">
        <w:rPr>
          <w:rFonts w:eastAsia="Times New Roman" w:cs="Arial"/>
          <w:sz w:val="24"/>
          <w:szCs w:val="24"/>
          <w:lang w:val="en"/>
        </w:rPr>
        <w:t>TUI would welcome a commitment by the DES that s</w:t>
      </w:r>
      <w:r w:rsidR="00712425" w:rsidRPr="00997775">
        <w:rPr>
          <w:rFonts w:eastAsia="Times New Roman" w:cs="Arial"/>
          <w:sz w:val="24"/>
          <w:szCs w:val="24"/>
          <w:lang w:val="en"/>
        </w:rPr>
        <w:t>uch funding will be sourced as a</w:t>
      </w:r>
      <w:r w:rsidR="00474B52" w:rsidRPr="00997775">
        <w:rPr>
          <w:rFonts w:eastAsia="Times New Roman" w:cs="Arial"/>
          <w:sz w:val="24"/>
          <w:szCs w:val="24"/>
          <w:lang w:val="en"/>
        </w:rPr>
        <w:t xml:space="preserve"> matter of urgency.  </w:t>
      </w:r>
      <w:r>
        <w:rPr>
          <w:rFonts w:cs="Arial"/>
          <w:sz w:val="24"/>
          <w:szCs w:val="24"/>
        </w:rPr>
        <w:t>D</w:t>
      </w:r>
      <w:r w:rsidR="00474B52" w:rsidRPr="00997775">
        <w:rPr>
          <w:rFonts w:cs="Arial"/>
          <w:sz w:val="24"/>
          <w:szCs w:val="24"/>
        </w:rPr>
        <w:t xml:space="preserve">ata from the NCSE (2014) show that over the 2013-2014 school year, 25,572 boys and 9,429 girls were allocated additional teaching resources for low incidence disabilities in mainstream primary and post-primary schools.  Barnardos (2008) estimates that 18% of students fall within the parameters of the EPSEN Act.  </w:t>
      </w:r>
    </w:p>
    <w:p w:rsidR="006928E9" w:rsidRPr="00997775" w:rsidRDefault="006928E9" w:rsidP="00997775">
      <w:pPr>
        <w:spacing w:line="360" w:lineRule="auto"/>
        <w:jc w:val="both"/>
        <w:rPr>
          <w:rFonts w:cs="Arial"/>
          <w:sz w:val="24"/>
          <w:szCs w:val="24"/>
        </w:rPr>
      </w:pPr>
    </w:p>
    <w:p w:rsidR="00474B52" w:rsidRPr="00997775" w:rsidRDefault="00474B52" w:rsidP="00997775">
      <w:pPr>
        <w:spacing w:line="360" w:lineRule="auto"/>
        <w:jc w:val="both"/>
        <w:rPr>
          <w:rFonts w:cs="Arial"/>
          <w:sz w:val="24"/>
          <w:szCs w:val="24"/>
        </w:rPr>
      </w:pPr>
      <w:r w:rsidRPr="00997775">
        <w:rPr>
          <w:rFonts w:cs="Arial"/>
          <w:sz w:val="24"/>
          <w:szCs w:val="24"/>
        </w:rPr>
        <w:t>A commitment to implementing the EPSEN Act is essential if provision for students with SEN is to be adequately and appropriately addressed. However, full implementation will only be possible when sufficient resources are allocated to</w:t>
      </w:r>
      <w:r w:rsidRPr="00997775">
        <w:rPr>
          <w:rFonts w:cs="Arial"/>
          <w:i/>
          <w:sz w:val="24"/>
          <w:szCs w:val="24"/>
        </w:rPr>
        <w:t xml:space="preserve"> </w:t>
      </w:r>
      <w:r w:rsidRPr="00997775">
        <w:rPr>
          <w:rFonts w:cs="Arial"/>
          <w:sz w:val="24"/>
          <w:szCs w:val="24"/>
        </w:rPr>
        <w:t xml:space="preserve">primary and post-primary schools.  </w:t>
      </w:r>
      <w:r w:rsidR="00422E4E" w:rsidRPr="00997775">
        <w:rPr>
          <w:rFonts w:cs="Arial"/>
          <w:sz w:val="24"/>
          <w:szCs w:val="24"/>
        </w:rPr>
        <w:t>Over</w:t>
      </w:r>
      <w:r w:rsidRPr="00997775">
        <w:rPr>
          <w:rFonts w:cs="Arial"/>
          <w:sz w:val="24"/>
          <w:szCs w:val="24"/>
        </w:rPr>
        <w:t xml:space="preserve"> ten years ago, </w:t>
      </w:r>
      <w:r w:rsidR="00422E4E" w:rsidRPr="00997775">
        <w:rPr>
          <w:rFonts w:cs="Arial"/>
          <w:sz w:val="24"/>
          <w:szCs w:val="24"/>
        </w:rPr>
        <w:t xml:space="preserve">the </w:t>
      </w:r>
      <w:r w:rsidRPr="00997775">
        <w:rPr>
          <w:rFonts w:cs="Arial"/>
          <w:sz w:val="24"/>
          <w:szCs w:val="24"/>
        </w:rPr>
        <w:t xml:space="preserve">TUI emphasised that schools were not sufficiently resourced to implement specific elements of the EPSEN Act, in particular designing and delivering Individual Education Plans (IEPs) for SEN students. </w:t>
      </w:r>
      <w:r w:rsidR="006928E9">
        <w:rPr>
          <w:rFonts w:cs="Arial"/>
          <w:sz w:val="24"/>
          <w:szCs w:val="24"/>
        </w:rPr>
        <w:t>In November 2018, the TUI reiterated this position in a communication with members and a letter to the DES and also pointed out that our position applied to other documents that could reasonably be interpreted as an IEP by a different name.</w:t>
      </w:r>
    </w:p>
    <w:p w:rsidR="00474B52" w:rsidRPr="00997775" w:rsidRDefault="00474B52" w:rsidP="00997775">
      <w:pPr>
        <w:spacing w:line="360" w:lineRule="auto"/>
        <w:jc w:val="both"/>
        <w:rPr>
          <w:rFonts w:cs="Arial"/>
          <w:sz w:val="24"/>
          <w:szCs w:val="24"/>
        </w:rPr>
      </w:pPr>
    </w:p>
    <w:p w:rsidR="00474B52" w:rsidRPr="00997775" w:rsidRDefault="00422E4E" w:rsidP="00997775">
      <w:pPr>
        <w:spacing w:line="360" w:lineRule="auto"/>
        <w:jc w:val="both"/>
        <w:rPr>
          <w:rFonts w:cs="Arial"/>
          <w:sz w:val="24"/>
          <w:szCs w:val="24"/>
        </w:rPr>
      </w:pPr>
      <w:r w:rsidRPr="00997775">
        <w:rPr>
          <w:rFonts w:cs="Arial"/>
          <w:sz w:val="24"/>
          <w:szCs w:val="24"/>
        </w:rPr>
        <w:lastRenderedPageBreak/>
        <w:t>In 2018</w:t>
      </w:r>
      <w:r w:rsidR="00474B52" w:rsidRPr="00997775">
        <w:rPr>
          <w:rFonts w:cs="Arial"/>
          <w:sz w:val="24"/>
          <w:szCs w:val="24"/>
        </w:rPr>
        <w:t>, schools are in receipt of far fewer resources as a consequence of austerity measures since 2008.  Most pertinently, the moratorium on posts of responsibility has diminished capacity to establish special needs departments or otherwise plan and co-ordinate related activity in most schools</w:t>
      </w:r>
      <w:r w:rsidRPr="00997775">
        <w:rPr>
          <w:rFonts w:cs="Arial"/>
          <w:sz w:val="24"/>
          <w:szCs w:val="24"/>
        </w:rPr>
        <w:t>, notwithstanding some minor restoration of posts recently.  However, some schools continue to lose posts whilst many other schools are awaiting any restoration</w:t>
      </w:r>
      <w:r w:rsidR="00474B52" w:rsidRPr="00997775">
        <w:rPr>
          <w:rFonts w:cs="Arial"/>
          <w:sz w:val="24"/>
          <w:szCs w:val="24"/>
        </w:rPr>
        <w:t>.  In addition, a worrying level of casualisation has emerged and the expertise of many teachers with particular qualifications and training in special education is lost as schools cannot deploy staff to best effect.  Furthermore, the Department of Public Expenditure and Reform has removed the allowance payable to teachers who hold a Postgraduate Diploma in Special Educational Needs and participate in the planning and delivery of teaching supports to student with SEN.  It’s difficult to see how the Government values the work of teachers who have pursued a qualification in SEN when the Government has removed the allowance for that qualification.  Likewise, in the current context of much reduced staffing (fewer teachers and middle management posts, removal of ex-quota guidance posts, removal of enhanced allocations for areas such as Travellers and ESOL) many schools will not be in a position to assign adequate staff time to carry out a comprehensive profiling exercise of the student population and, in particular, of the totality of special needs that exist within it.</w:t>
      </w:r>
    </w:p>
    <w:p w:rsidR="00474B52" w:rsidRPr="00997775" w:rsidRDefault="00474B52" w:rsidP="00997775">
      <w:pPr>
        <w:spacing w:line="360" w:lineRule="auto"/>
        <w:jc w:val="both"/>
        <w:rPr>
          <w:rFonts w:cs="Arial"/>
          <w:sz w:val="24"/>
          <w:szCs w:val="24"/>
        </w:rPr>
      </w:pPr>
    </w:p>
    <w:p w:rsidR="00474B52" w:rsidRPr="00997775" w:rsidRDefault="00474B52" w:rsidP="00997775">
      <w:pPr>
        <w:spacing w:line="360" w:lineRule="auto"/>
        <w:jc w:val="both"/>
        <w:rPr>
          <w:rFonts w:cs="Arial"/>
          <w:b/>
          <w:sz w:val="24"/>
          <w:szCs w:val="24"/>
          <w:u w:val="single"/>
        </w:rPr>
      </w:pPr>
      <w:r w:rsidRPr="00997775">
        <w:rPr>
          <w:rFonts w:cs="Arial"/>
          <w:sz w:val="24"/>
          <w:szCs w:val="24"/>
        </w:rPr>
        <w:t xml:space="preserve">In the interest of students </w:t>
      </w:r>
      <w:r w:rsidR="00422E4E" w:rsidRPr="00997775">
        <w:rPr>
          <w:rFonts w:cs="Arial"/>
          <w:sz w:val="24"/>
          <w:szCs w:val="24"/>
        </w:rPr>
        <w:t xml:space="preserve">the </w:t>
      </w:r>
      <w:r w:rsidRPr="00997775">
        <w:rPr>
          <w:rFonts w:cs="Arial"/>
          <w:sz w:val="24"/>
          <w:szCs w:val="24"/>
        </w:rPr>
        <w:t xml:space="preserve">TUI supports the full implementation of the EPSEN Act and embraces the core concepts of integration, inclusion, early intervention, individualised planning and monitoring of progress. However, this is somewhat impractical and overly ambitious as current government cost cutting policies in the public service are completely at odds with intention to implement.   Efforts towards full implementation are laudable but TUI is emphatic that any additional work required cannot be imposed on teachers who are already overstretched on a daily basis and have suffered multiple pay cuts. Furthermore, full implementation would place considerable additional demands on other public services, in particular, the HSE. A measured and considered approach to managing the deployment of national resources is therefore critical and realistic expectations of what is achievable at school and service level are essential.   </w:t>
      </w:r>
    </w:p>
    <w:p w:rsidR="006D2A92" w:rsidRPr="00997775" w:rsidRDefault="006D2A92" w:rsidP="00997775">
      <w:pPr>
        <w:spacing w:before="100" w:beforeAutospacing="1" w:after="100" w:afterAutospacing="1" w:line="360" w:lineRule="auto"/>
        <w:jc w:val="both"/>
        <w:rPr>
          <w:rFonts w:eastAsia="Times New Roman" w:cs="Arial"/>
          <w:sz w:val="24"/>
          <w:szCs w:val="24"/>
          <w:lang w:val="en"/>
        </w:rPr>
      </w:pPr>
    </w:p>
    <w:p w:rsidR="00C83C29" w:rsidRPr="00997775" w:rsidRDefault="00C83C29" w:rsidP="00997775">
      <w:pPr>
        <w:spacing w:before="100" w:beforeAutospacing="1" w:after="100" w:afterAutospacing="1" w:line="360" w:lineRule="auto"/>
        <w:jc w:val="both"/>
        <w:rPr>
          <w:rFonts w:eastAsia="Times New Roman" w:cs="Arial"/>
          <w:sz w:val="24"/>
          <w:szCs w:val="24"/>
          <w:u w:val="single"/>
          <w:lang w:val="en"/>
        </w:rPr>
      </w:pPr>
      <w:r w:rsidRPr="00997775">
        <w:rPr>
          <w:rFonts w:eastAsia="Times New Roman" w:cs="Arial"/>
          <w:sz w:val="24"/>
          <w:szCs w:val="24"/>
          <w:u w:val="single"/>
          <w:lang w:val="en"/>
        </w:rPr>
        <w:lastRenderedPageBreak/>
        <w:t>Meeting the Skills Needs of the Future</w:t>
      </w:r>
    </w:p>
    <w:p w:rsidR="005274C8" w:rsidRPr="00997775" w:rsidRDefault="005274C8" w:rsidP="00997775">
      <w:pPr>
        <w:spacing w:before="100" w:beforeAutospacing="1" w:after="100" w:afterAutospacing="1" w:line="360" w:lineRule="auto"/>
        <w:jc w:val="both"/>
        <w:rPr>
          <w:rFonts w:eastAsia="Times New Roman" w:cs="Arial"/>
          <w:sz w:val="24"/>
          <w:szCs w:val="24"/>
          <w:lang w:val="en"/>
        </w:rPr>
      </w:pPr>
      <w:r w:rsidRPr="00997775">
        <w:rPr>
          <w:rFonts w:eastAsia="Times New Roman" w:cs="Arial"/>
          <w:sz w:val="24"/>
          <w:szCs w:val="24"/>
          <w:lang w:val="en"/>
        </w:rPr>
        <w:t xml:space="preserve">The adult and further education sector has a long and productive history of meeting the needs of adult learners, students recently out of school and of the workplace.  Education and training serves an important need </w:t>
      </w:r>
      <w:r w:rsidR="00712425" w:rsidRPr="00997775">
        <w:rPr>
          <w:rFonts w:eastAsia="Times New Roman" w:cs="Arial"/>
          <w:sz w:val="24"/>
          <w:szCs w:val="24"/>
          <w:lang w:val="en"/>
        </w:rPr>
        <w:t xml:space="preserve">in the development of a skilled staff </w:t>
      </w:r>
      <w:r w:rsidRPr="00997775">
        <w:rPr>
          <w:rFonts w:eastAsia="Times New Roman" w:cs="Arial"/>
          <w:sz w:val="24"/>
          <w:szCs w:val="24"/>
          <w:lang w:val="en"/>
        </w:rPr>
        <w:t>workforce.  However, it also serves the personal development needs of many people.  It is vital that both strands continue to flourish.  The adult and further education sector is diverse because of the diverse needs of learners.  Such diversity is a strength that must be protected.</w:t>
      </w:r>
      <w:r w:rsidR="003C52DD" w:rsidRPr="00997775">
        <w:rPr>
          <w:rFonts w:eastAsia="Times New Roman" w:cs="Arial"/>
          <w:sz w:val="24"/>
          <w:szCs w:val="24"/>
          <w:lang w:val="en"/>
        </w:rPr>
        <w:t xml:space="preserve">  </w:t>
      </w:r>
    </w:p>
    <w:p w:rsidR="003C52DD" w:rsidRPr="00997775" w:rsidRDefault="003C52DD" w:rsidP="00997775">
      <w:pPr>
        <w:spacing w:before="100" w:beforeAutospacing="1" w:after="100" w:afterAutospacing="1" w:line="360" w:lineRule="auto"/>
        <w:jc w:val="both"/>
        <w:rPr>
          <w:rFonts w:eastAsia="Times New Roman" w:cs="Arial"/>
          <w:sz w:val="24"/>
          <w:szCs w:val="24"/>
          <w:lang w:val="en"/>
        </w:rPr>
      </w:pPr>
    </w:p>
    <w:p w:rsidR="00C43B39" w:rsidRPr="00997775" w:rsidRDefault="00422E4E" w:rsidP="00997775">
      <w:pPr>
        <w:spacing w:before="100" w:beforeAutospacing="1" w:after="100" w:afterAutospacing="1" w:line="360" w:lineRule="auto"/>
        <w:jc w:val="both"/>
        <w:rPr>
          <w:rFonts w:eastAsia="Times New Roman" w:cs="Arial"/>
          <w:sz w:val="24"/>
          <w:szCs w:val="24"/>
          <w:lang w:val="en"/>
        </w:rPr>
      </w:pPr>
      <w:r w:rsidRPr="00997775">
        <w:rPr>
          <w:rFonts w:eastAsia="Times New Roman" w:cs="Arial"/>
          <w:sz w:val="24"/>
          <w:szCs w:val="24"/>
          <w:lang w:val="en"/>
        </w:rPr>
        <w:t xml:space="preserve">The </w:t>
      </w:r>
      <w:r w:rsidR="00C43B39" w:rsidRPr="00997775">
        <w:rPr>
          <w:rFonts w:eastAsia="Times New Roman" w:cs="Arial"/>
          <w:sz w:val="24"/>
          <w:szCs w:val="24"/>
          <w:lang w:val="en"/>
        </w:rPr>
        <w:t xml:space="preserve">TUI believes that the benchmark grade for FET provision is that of teacher.  This would be a guarantor of quality and prevent destabilisation and devaluation of the FET sector.  </w:t>
      </w:r>
      <w:r w:rsidRPr="00997775">
        <w:rPr>
          <w:rFonts w:eastAsia="Times New Roman" w:cs="Arial"/>
          <w:sz w:val="24"/>
          <w:szCs w:val="24"/>
          <w:lang w:val="en"/>
        </w:rPr>
        <w:t xml:space="preserve">The </w:t>
      </w:r>
      <w:r w:rsidR="00C43B39" w:rsidRPr="00997775">
        <w:rPr>
          <w:rFonts w:eastAsia="Times New Roman" w:cs="Arial"/>
          <w:sz w:val="24"/>
          <w:szCs w:val="24"/>
          <w:lang w:val="en"/>
        </w:rPr>
        <w:t xml:space="preserve">TUI seeks categorical assurances that SOLAS will not </w:t>
      </w:r>
      <w:r w:rsidR="0063366D" w:rsidRPr="00997775">
        <w:rPr>
          <w:rFonts w:eastAsia="Times New Roman" w:cs="Arial"/>
          <w:sz w:val="24"/>
          <w:szCs w:val="24"/>
          <w:lang w:val="en"/>
        </w:rPr>
        <w:t xml:space="preserve">attempt to </w:t>
      </w:r>
      <w:r w:rsidR="00C43B39" w:rsidRPr="00997775">
        <w:rPr>
          <w:rFonts w:eastAsia="Times New Roman" w:cs="Arial"/>
          <w:sz w:val="24"/>
          <w:szCs w:val="24"/>
          <w:lang w:val="en"/>
        </w:rPr>
        <w:t>diminish the established pay and terms of employment of teachers in the sector.  Therefore, the baseline requirement for staff employed to deliver FET programmes should be an appropriate teaching qualification.</w:t>
      </w:r>
      <w:r w:rsidR="0063366D" w:rsidRPr="00997775">
        <w:rPr>
          <w:rFonts w:eastAsia="Times New Roman" w:cs="Arial"/>
          <w:sz w:val="24"/>
          <w:szCs w:val="24"/>
          <w:lang w:val="en"/>
        </w:rPr>
        <w:t xml:space="preserve">  Emphasis in this sector should continue to be placed firmly on delivering good quality education.</w:t>
      </w:r>
    </w:p>
    <w:p w:rsidR="00C43B39" w:rsidRPr="00997775" w:rsidRDefault="00C43B39" w:rsidP="00997775">
      <w:pPr>
        <w:spacing w:before="100" w:beforeAutospacing="1" w:after="100" w:afterAutospacing="1" w:line="360" w:lineRule="auto"/>
        <w:jc w:val="both"/>
        <w:rPr>
          <w:rFonts w:eastAsia="Times New Roman" w:cs="Arial"/>
          <w:sz w:val="24"/>
          <w:szCs w:val="24"/>
          <w:lang w:val="en"/>
        </w:rPr>
      </w:pPr>
    </w:p>
    <w:p w:rsidR="00C43B39" w:rsidRPr="00997775" w:rsidRDefault="00C43B39" w:rsidP="00997775">
      <w:pPr>
        <w:spacing w:before="100" w:beforeAutospacing="1" w:after="100" w:afterAutospacing="1" w:line="360" w:lineRule="auto"/>
        <w:jc w:val="both"/>
        <w:rPr>
          <w:rFonts w:eastAsia="Times New Roman" w:cs="Arial"/>
          <w:sz w:val="24"/>
          <w:szCs w:val="24"/>
          <w:lang w:val="en"/>
        </w:rPr>
      </w:pPr>
      <w:r w:rsidRPr="00997775">
        <w:rPr>
          <w:rFonts w:eastAsia="Times New Roman" w:cs="Arial"/>
          <w:sz w:val="24"/>
          <w:szCs w:val="24"/>
          <w:lang w:val="en"/>
        </w:rPr>
        <w:t>Other critical issues include the deterioration in teacher and capital allocations, the depletion of guidance services and the artificial and counter-productive limitation on participant places on post-Leaving Certificate courses.</w:t>
      </w:r>
    </w:p>
    <w:p w:rsidR="000341D9" w:rsidRPr="00997775" w:rsidRDefault="000341D9" w:rsidP="00997775">
      <w:pPr>
        <w:spacing w:before="100" w:beforeAutospacing="1" w:after="100" w:afterAutospacing="1" w:line="360" w:lineRule="auto"/>
        <w:jc w:val="both"/>
        <w:rPr>
          <w:rFonts w:eastAsia="Times New Roman" w:cs="Arial"/>
          <w:sz w:val="24"/>
          <w:szCs w:val="24"/>
          <w:lang w:val="en"/>
        </w:rPr>
      </w:pPr>
    </w:p>
    <w:p w:rsidR="005274C8" w:rsidRPr="00997775" w:rsidRDefault="005274C8" w:rsidP="00997775">
      <w:pPr>
        <w:spacing w:before="100" w:beforeAutospacing="1" w:after="100" w:afterAutospacing="1" w:line="360" w:lineRule="auto"/>
        <w:jc w:val="both"/>
        <w:rPr>
          <w:rFonts w:eastAsia="Times New Roman" w:cs="Arial"/>
          <w:sz w:val="24"/>
          <w:szCs w:val="24"/>
          <w:lang w:eastAsia="ga-IE"/>
        </w:rPr>
      </w:pPr>
      <w:r w:rsidRPr="00997775">
        <w:rPr>
          <w:rFonts w:eastAsia="Times New Roman" w:cs="Arial"/>
          <w:sz w:val="24"/>
          <w:szCs w:val="24"/>
          <w:lang w:val="en"/>
        </w:rPr>
        <w:t>Apprenticeship</w:t>
      </w:r>
      <w:r w:rsidR="000341D9" w:rsidRPr="00997775">
        <w:rPr>
          <w:rFonts w:eastAsia="Times New Roman" w:cs="Arial"/>
          <w:sz w:val="24"/>
          <w:szCs w:val="24"/>
          <w:lang w:val="en"/>
        </w:rPr>
        <w:t xml:space="preserve"> is central to the development of a high quality skilled workforce</w:t>
      </w:r>
      <w:r w:rsidRPr="00997775">
        <w:rPr>
          <w:rFonts w:eastAsia="Times New Roman" w:cs="Arial"/>
          <w:sz w:val="24"/>
          <w:szCs w:val="24"/>
          <w:lang w:val="en"/>
        </w:rPr>
        <w:t xml:space="preserve">.  </w:t>
      </w:r>
      <w:r w:rsidR="00422E4E" w:rsidRPr="00997775">
        <w:rPr>
          <w:rFonts w:eastAsia="Times New Roman" w:cs="Arial"/>
          <w:sz w:val="24"/>
          <w:szCs w:val="24"/>
          <w:lang w:val="en"/>
        </w:rPr>
        <w:t xml:space="preserve">The </w:t>
      </w:r>
      <w:r w:rsidRPr="00997775">
        <w:rPr>
          <w:rFonts w:eastAsia="Times New Roman" w:cs="Arial"/>
          <w:sz w:val="24"/>
          <w:szCs w:val="24"/>
          <w:lang w:eastAsia="ga-IE"/>
        </w:rPr>
        <w:t xml:space="preserve">Irish national apprenticeship system has an international reputation for the quality and excellence of apprenticeship education and training.  The high standard of competency, skill and knowledge demonstrated by Irish apprenticeship students is evidenced in the awards achieved at the biannual Worldskills competition.  Young Irish apprentices have gained results competing against apprenticeships from the largest and most developed countries in the world.  These developed countries invest heavily in their apprenticeship system and provide specialised additional training programmes for the apprentices who qualify to take part in their national team.  Irish apprentices with the expert support from lecturers from institutes of technology </w:t>
      </w:r>
      <w:r w:rsidR="000341D9" w:rsidRPr="00997775">
        <w:rPr>
          <w:rFonts w:eastAsia="Times New Roman" w:cs="Arial"/>
          <w:sz w:val="24"/>
          <w:szCs w:val="24"/>
          <w:lang w:eastAsia="ga-IE"/>
        </w:rPr>
        <w:t>h</w:t>
      </w:r>
      <w:r w:rsidRPr="00997775">
        <w:rPr>
          <w:rFonts w:eastAsia="Times New Roman" w:cs="Arial"/>
          <w:sz w:val="24"/>
          <w:szCs w:val="24"/>
          <w:lang w:eastAsia="ga-IE"/>
        </w:rPr>
        <w:t>ave managed to punch above their weight and brought home gold, silver and bronze medals and have been awarded medallions for excellence in their respected trade areas.  This success is underpinned by the work of the National Apprenticeship Competition Committee and the Annual National Skills competitions held in institutes of technology.  Lecturers in institutes give their time on a voluntary basis to promote the work of both the National Skills competition and the Worldskills competition.</w:t>
      </w:r>
    </w:p>
    <w:p w:rsidR="005274C8" w:rsidRPr="00997775" w:rsidRDefault="005274C8" w:rsidP="00997775">
      <w:pPr>
        <w:spacing w:before="100" w:beforeAutospacing="1" w:after="100" w:afterAutospacing="1" w:line="360" w:lineRule="auto"/>
        <w:jc w:val="both"/>
        <w:rPr>
          <w:rFonts w:eastAsia="Times New Roman" w:cs="Arial"/>
          <w:sz w:val="24"/>
          <w:szCs w:val="24"/>
          <w:lang w:eastAsia="ga-IE"/>
        </w:rPr>
      </w:pPr>
    </w:p>
    <w:p w:rsidR="005274C8" w:rsidRPr="00997775" w:rsidRDefault="005274C8" w:rsidP="00997775">
      <w:pPr>
        <w:spacing w:after="0" w:line="360" w:lineRule="auto"/>
        <w:jc w:val="both"/>
        <w:rPr>
          <w:rFonts w:eastAsia="Times New Roman" w:cs="Arial"/>
          <w:sz w:val="24"/>
          <w:szCs w:val="24"/>
          <w:lang w:eastAsia="ga-IE"/>
        </w:rPr>
      </w:pPr>
      <w:r w:rsidRPr="00997775">
        <w:rPr>
          <w:rFonts w:eastAsia="Times New Roman" w:cs="Arial"/>
          <w:sz w:val="24"/>
          <w:szCs w:val="24"/>
          <w:lang w:eastAsia="ga-IE"/>
        </w:rPr>
        <w:t>Furthermore, the Irish apprenticeship system has a brand quality recognised in the real world of work by both small and large employers and multinational companies.  Irish apprentices who successfully complete both their theoretical and practical examinations in the institutes of technology and achieve their required work</w:t>
      </w:r>
      <w:r w:rsidR="00237633" w:rsidRPr="00997775">
        <w:rPr>
          <w:rFonts w:eastAsia="Times New Roman" w:cs="Arial"/>
          <w:sz w:val="24"/>
          <w:szCs w:val="24"/>
          <w:lang w:eastAsia="ga-IE"/>
        </w:rPr>
        <w:t>-</w:t>
      </w:r>
      <w:r w:rsidRPr="00997775">
        <w:rPr>
          <w:rFonts w:eastAsia="Times New Roman" w:cs="Arial"/>
          <w:sz w:val="24"/>
          <w:szCs w:val="24"/>
          <w:lang w:eastAsia="ga-IE"/>
        </w:rPr>
        <w:t>based learning standards gain a valuable award which can be considered as a passport to gain access to employment markets internationally.  It is vital that the brand quality of the Irish apprenticeship system is protected.  Any proposed changes to the system need to consider the consequences and evaluate the risks to international brand reputation and the quality and standards of the apprenticeship system.</w:t>
      </w:r>
      <w:r w:rsidR="000341D9" w:rsidRPr="00997775">
        <w:rPr>
          <w:rFonts w:eastAsia="Times New Roman" w:cs="Arial"/>
          <w:sz w:val="24"/>
          <w:szCs w:val="24"/>
          <w:lang w:eastAsia="ga-IE"/>
        </w:rPr>
        <w:t xml:space="preserve">  </w:t>
      </w:r>
      <w:r w:rsidR="00422E4E" w:rsidRPr="00997775">
        <w:rPr>
          <w:rFonts w:eastAsia="Times New Roman" w:cs="Arial"/>
          <w:sz w:val="24"/>
          <w:szCs w:val="24"/>
          <w:lang w:eastAsia="ga-IE"/>
        </w:rPr>
        <w:t xml:space="preserve">The </w:t>
      </w:r>
      <w:r w:rsidR="000341D9" w:rsidRPr="00997775">
        <w:rPr>
          <w:rFonts w:eastAsia="Times New Roman" w:cs="Arial"/>
          <w:sz w:val="24"/>
          <w:szCs w:val="24"/>
          <w:lang w:eastAsia="ga-IE"/>
        </w:rPr>
        <w:t xml:space="preserve">TUI demands that that the quality provision of the established apprenticeship system is protected.  </w:t>
      </w:r>
      <w:r w:rsidR="00422E4E" w:rsidRPr="00997775">
        <w:rPr>
          <w:rFonts w:eastAsia="Times New Roman" w:cs="Arial"/>
          <w:sz w:val="24"/>
          <w:szCs w:val="24"/>
          <w:lang w:eastAsia="ga-IE"/>
        </w:rPr>
        <w:t xml:space="preserve">The </w:t>
      </w:r>
      <w:r w:rsidR="000341D9" w:rsidRPr="00997775">
        <w:rPr>
          <w:rFonts w:eastAsia="Times New Roman" w:cs="Arial"/>
          <w:sz w:val="24"/>
          <w:szCs w:val="24"/>
          <w:lang w:eastAsia="ga-IE"/>
        </w:rPr>
        <w:t xml:space="preserve">TUI seeks representation on the national Apprenticeship Council.  </w:t>
      </w:r>
      <w:r w:rsidR="00422E4E" w:rsidRPr="00997775">
        <w:rPr>
          <w:rFonts w:eastAsia="Times New Roman" w:cs="Arial"/>
          <w:sz w:val="24"/>
          <w:szCs w:val="24"/>
          <w:lang w:eastAsia="ga-IE"/>
        </w:rPr>
        <w:t xml:space="preserve">The </w:t>
      </w:r>
      <w:r w:rsidR="000341D9" w:rsidRPr="00997775">
        <w:rPr>
          <w:rFonts w:eastAsia="Times New Roman" w:cs="Arial"/>
          <w:sz w:val="24"/>
          <w:szCs w:val="24"/>
          <w:lang w:eastAsia="ga-IE"/>
        </w:rPr>
        <w:t xml:space="preserve">TUI believes that a governance policy is required for apprenticeship including the operational structures of the agencies involved and the key stakeholders.  </w:t>
      </w:r>
      <w:r w:rsidR="00422E4E" w:rsidRPr="00997775">
        <w:rPr>
          <w:rFonts w:eastAsia="Times New Roman" w:cs="Arial"/>
          <w:sz w:val="24"/>
          <w:szCs w:val="24"/>
          <w:lang w:eastAsia="ga-IE"/>
        </w:rPr>
        <w:t xml:space="preserve">The </w:t>
      </w:r>
      <w:r w:rsidR="000341D9" w:rsidRPr="00997775">
        <w:rPr>
          <w:rFonts w:eastAsia="Times New Roman" w:cs="Arial"/>
          <w:sz w:val="24"/>
          <w:szCs w:val="24"/>
          <w:lang w:eastAsia="ga-IE"/>
        </w:rPr>
        <w:t xml:space="preserve">TUI, working with the European Trade Union Council, intends to develop European apprenticeship projects through Erasmus+.  </w:t>
      </w:r>
      <w:r w:rsidR="00422E4E" w:rsidRPr="00997775">
        <w:rPr>
          <w:rFonts w:eastAsia="Times New Roman" w:cs="Arial"/>
          <w:sz w:val="24"/>
          <w:szCs w:val="24"/>
          <w:lang w:eastAsia="ga-IE"/>
        </w:rPr>
        <w:t xml:space="preserve">The </w:t>
      </w:r>
      <w:r w:rsidR="000341D9" w:rsidRPr="00997775">
        <w:rPr>
          <w:rFonts w:eastAsia="Times New Roman" w:cs="Arial"/>
          <w:sz w:val="24"/>
          <w:szCs w:val="24"/>
          <w:lang w:eastAsia="ga-IE"/>
        </w:rPr>
        <w:t>TUI will work in partnership with the institutes of technology, Educ</w:t>
      </w:r>
      <w:r w:rsidR="00F93075" w:rsidRPr="00997775">
        <w:rPr>
          <w:rFonts w:eastAsia="Times New Roman" w:cs="Arial"/>
          <w:sz w:val="24"/>
          <w:szCs w:val="24"/>
          <w:lang w:eastAsia="ga-IE"/>
        </w:rPr>
        <w:t>ation and Training Boards, SOLAS</w:t>
      </w:r>
      <w:r w:rsidR="000341D9" w:rsidRPr="00997775">
        <w:rPr>
          <w:rFonts w:eastAsia="Times New Roman" w:cs="Arial"/>
          <w:sz w:val="24"/>
          <w:szCs w:val="24"/>
          <w:lang w:eastAsia="ga-IE"/>
        </w:rPr>
        <w:t xml:space="preserve"> and QQI to promote apprenticeship as a worthwhile career option.</w:t>
      </w:r>
    </w:p>
    <w:p w:rsidR="005274C8" w:rsidRPr="00997775" w:rsidRDefault="005274C8" w:rsidP="00997775">
      <w:pPr>
        <w:spacing w:before="100" w:beforeAutospacing="1" w:after="100" w:afterAutospacing="1" w:line="360" w:lineRule="auto"/>
        <w:jc w:val="both"/>
        <w:rPr>
          <w:rFonts w:eastAsia="Times New Roman" w:cs="Arial"/>
          <w:sz w:val="24"/>
          <w:szCs w:val="24"/>
          <w:lang w:val="en"/>
        </w:rPr>
      </w:pPr>
    </w:p>
    <w:p w:rsidR="00D014F6" w:rsidRPr="00997775" w:rsidRDefault="00D014F6" w:rsidP="00997775">
      <w:pPr>
        <w:spacing w:before="100" w:beforeAutospacing="1" w:after="100" w:afterAutospacing="1" w:line="360" w:lineRule="auto"/>
        <w:jc w:val="both"/>
        <w:rPr>
          <w:rFonts w:eastAsia="Times New Roman" w:cs="Arial"/>
          <w:sz w:val="24"/>
          <w:szCs w:val="24"/>
          <w:u w:val="single"/>
          <w:lang w:val="en"/>
        </w:rPr>
      </w:pPr>
      <w:r w:rsidRPr="00997775">
        <w:rPr>
          <w:rFonts w:eastAsia="Times New Roman" w:cs="Arial"/>
          <w:sz w:val="24"/>
          <w:szCs w:val="24"/>
          <w:u w:val="single"/>
          <w:lang w:val="en"/>
        </w:rPr>
        <w:t>Technological Universities</w:t>
      </w:r>
    </w:p>
    <w:p w:rsidR="00AE3E15" w:rsidRPr="00997775" w:rsidRDefault="00422E4E" w:rsidP="00997775">
      <w:pPr>
        <w:spacing w:before="100" w:beforeAutospacing="1" w:after="100" w:afterAutospacing="1" w:line="360" w:lineRule="auto"/>
        <w:jc w:val="both"/>
        <w:rPr>
          <w:rFonts w:eastAsia="Times New Roman" w:cs="Arial"/>
          <w:sz w:val="24"/>
          <w:szCs w:val="24"/>
          <w:lang w:val="en"/>
        </w:rPr>
      </w:pPr>
      <w:r w:rsidRPr="00997775">
        <w:rPr>
          <w:rFonts w:eastAsia="Times New Roman" w:cs="Arial"/>
          <w:sz w:val="24"/>
          <w:szCs w:val="24"/>
          <w:lang w:val="en"/>
        </w:rPr>
        <w:t xml:space="preserve">The </w:t>
      </w:r>
      <w:r w:rsidR="00C43B39" w:rsidRPr="00997775">
        <w:rPr>
          <w:rFonts w:eastAsia="Times New Roman" w:cs="Arial"/>
          <w:sz w:val="24"/>
          <w:szCs w:val="24"/>
          <w:lang w:val="en"/>
        </w:rPr>
        <w:t>TUI believes that Institutes of technology should have the opportunity, but not the compulsion, to convert to Technological Universities.  Such conversion of status should not be premised on a compulsory merger of existing IoTs</w:t>
      </w:r>
      <w:r w:rsidR="00AE3E15" w:rsidRPr="00997775">
        <w:rPr>
          <w:rFonts w:eastAsia="Times New Roman" w:cs="Arial"/>
          <w:sz w:val="24"/>
          <w:szCs w:val="24"/>
          <w:lang w:val="en"/>
        </w:rPr>
        <w:t>.  Furthermore, it</w:t>
      </w:r>
      <w:r w:rsidR="00C43B39" w:rsidRPr="00997775">
        <w:rPr>
          <w:rFonts w:eastAsia="Times New Roman" w:cs="Arial"/>
          <w:sz w:val="24"/>
          <w:szCs w:val="24"/>
          <w:lang w:val="en"/>
        </w:rPr>
        <w:t xml:space="preserve"> is absolutely unacceptable </w:t>
      </w:r>
      <w:r w:rsidR="00AE3E15" w:rsidRPr="00997775">
        <w:rPr>
          <w:rFonts w:eastAsia="Times New Roman" w:cs="Arial"/>
          <w:sz w:val="24"/>
          <w:szCs w:val="24"/>
          <w:lang w:val="en"/>
        </w:rPr>
        <w:t xml:space="preserve">to </w:t>
      </w:r>
      <w:r w:rsidRPr="00997775">
        <w:rPr>
          <w:rFonts w:eastAsia="Times New Roman" w:cs="Arial"/>
          <w:sz w:val="24"/>
          <w:szCs w:val="24"/>
          <w:lang w:val="en"/>
        </w:rPr>
        <w:t xml:space="preserve">the </w:t>
      </w:r>
      <w:r w:rsidR="00AE3E15" w:rsidRPr="00997775">
        <w:rPr>
          <w:rFonts w:eastAsia="Times New Roman" w:cs="Arial"/>
          <w:sz w:val="24"/>
          <w:szCs w:val="24"/>
          <w:lang w:val="en"/>
        </w:rPr>
        <w:t>TUI that conversion to TU stat</w:t>
      </w:r>
      <w:r w:rsidR="00C43B39" w:rsidRPr="00997775">
        <w:rPr>
          <w:rFonts w:eastAsia="Times New Roman" w:cs="Arial"/>
          <w:sz w:val="24"/>
          <w:szCs w:val="24"/>
          <w:lang w:val="en"/>
        </w:rPr>
        <w:t xml:space="preserve">us would change </w:t>
      </w:r>
      <w:r w:rsidR="00AE3E15" w:rsidRPr="00997775">
        <w:rPr>
          <w:rFonts w:eastAsia="Times New Roman" w:cs="Arial"/>
          <w:sz w:val="24"/>
          <w:szCs w:val="24"/>
          <w:lang w:val="en"/>
        </w:rPr>
        <w:t xml:space="preserve">existing </w:t>
      </w:r>
      <w:r w:rsidR="000341D9" w:rsidRPr="00997775">
        <w:rPr>
          <w:rFonts w:eastAsia="Times New Roman" w:cs="Arial"/>
          <w:sz w:val="24"/>
          <w:szCs w:val="24"/>
          <w:lang w:val="en"/>
        </w:rPr>
        <w:t>member’s</w:t>
      </w:r>
      <w:r w:rsidR="00AE3E15" w:rsidRPr="00997775">
        <w:rPr>
          <w:rFonts w:eastAsia="Times New Roman" w:cs="Arial"/>
          <w:sz w:val="24"/>
          <w:szCs w:val="24"/>
          <w:lang w:val="en"/>
        </w:rPr>
        <w:t xml:space="preserve"> terms and conditions or the right of </w:t>
      </w:r>
      <w:r w:rsidR="000341D9" w:rsidRPr="00997775">
        <w:rPr>
          <w:rFonts w:eastAsia="Times New Roman" w:cs="Arial"/>
          <w:sz w:val="24"/>
          <w:szCs w:val="24"/>
          <w:lang w:val="en"/>
        </w:rPr>
        <w:t>members</w:t>
      </w:r>
      <w:r w:rsidR="00AE3E15" w:rsidRPr="00997775">
        <w:rPr>
          <w:rFonts w:eastAsia="Times New Roman" w:cs="Arial"/>
          <w:sz w:val="24"/>
          <w:szCs w:val="24"/>
          <w:lang w:val="en"/>
        </w:rPr>
        <w:t xml:space="preserve"> to have these determined at a national level.  </w:t>
      </w:r>
      <w:r w:rsidR="009C1801" w:rsidRPr="00997775">
        <w:rPr>
          <w:rFonts w:eastAsia="Times New Roman" w:cs="Arial"/>
          <w:sz w:val="24"/>
          <w:szCs w:val="24"/>
          <w:lang w:val="en"/>
        </w:rPr>
        <w:t xml:space="preserve">Furthermore, conversion to TU status cannot be done on a “shoestring” as highlighted by the CEO of the HEA in February 2015.  </w:t>
      </w:r>
    </w:p>
    <w:p w:rsidR="00422E4E" w:rsidRPr="00997775" w:rsidRDefault="00422E4E" w:rsidP="00997775">
      <w:pPr>
        <w:spacing w:before="100" w:beforeAutospacing="1" w:after="100" w:afterAutospacing="1" w:line="360" w:lineRule="auto"/>
        <w:jc w:val="both"/>
        <w:rPr>
          <w:rFonts w:eastAsia="Times New Roman" w:cs="Arial"/>
          <w:sz w:val="24"/>
          <w:szCs w:val="24"/>
          <w:u w:val="single"/>
          <w:lang w:val="en"/>
        </w:rPr>
      </w:pPr>
    </w:p>
    <w:p w:rsidR="00D014F6" w:rsidRPr="00997775" w:rsidRDefault="00D014F6" w:rsidP="00997775">
      <w:pPr>
        <w:spacing w:before="100" w:beforeAutospacing="1" w:after="100" w:afterAutospacing="1" w:line="360" w:lineRule="auto"/>
        <w:jc w:val="both"/>
        <w:rPr>
          <w:rFonts w:eastAsia="Times New Roman" w:cs="Arial"/>
          <w:sz w:val="24"/>
          <w:szCs w:val="24"/>
          <w:u w:val="single"/>
          <w:lang w:val="en"/>
        </w:rPr>
      </w:pPr>
      <w:r w:rsidRPr="00997775">
        <w:rPr>
          <w:rFonts w:eastAsia="Times New Roman" w:cs="Arial"/>
          <w:sz w:val="24"/>
          <w:szCs w:val="24"/>
          <w:u w:val="single"/>
          <w:lang w:val="en"/>
        </w:rPr>
        <w:t>Funding of Third Level</w:t>
      </w:r>
    </w:p>
    <w:p w:rsidR="00C84F06" w:rsidRPr="00997775" w:rsidRDefault="00AE3E15" w:rsidP="00997775">
      <w:pPr>
        <w:autoSpaceDE w:val="0"/>
        <w:autoSpaceDN w:val="0"/>
        <w:adjustRightInd w:val="0"/>
        <w:spacing w:after="0" w:line="360" w:lineRule="auto"/>
        <w:jc w:val="both"/>
        <w:rPr>
          <w:rFonts w:eastAsia="Times New Roman" w:cs="Arial"/>
          <w:sz w:val="24"/>
          <w:szCs w:val="24"/>
          <w:lang w:val="en"/>
        </w:rPr>
      </w:pPr>
      <w:r w:rsidRPr="00997775">
        <w:rPr>
          <w:rFonts w:eastAsia="Times New Roman" w:cs="Arial"/>
          <w:sz w:val="24"/>
          <w:szCs w:val="24"/>
          <w:lang w:val="en"/>
        </w:rPr>
        <w:t xml:space="preserve">Existing funding of third level education is wholly inadequate.  </w:t>
      </w:r>
      <w:r w:rsidR="00210A17" w:rsidRPr="00997775">
        <w:rPr>
          <w:rFonts w:eastAsia="Times New Roman" w:cs="Arial"/>
          <w:sz w:val="24"/>
          <w:szCs w:val="24"/>
          <w:lang w:val="en"/>
        </w:rPr>
        <w:t xml:space="preserve">The DES recognises that a crisis exists in third level in its statement that there has been “a net reduction in core funding per student (22%) given the scale of increase in student numbers (15%)” and that there has been a “reduction of 2,000 staff) (DES, 2016: 83).  </w:t>
      </w:r>
      <w:r w:rsidR="00C84F06" w:rsidRPr="00997775">
        <w:rPr>
          <w:rFonts w:eastAsia="Times New Roman" w:cs="Arial"/>
          <w:sz w:val="24"/>
          <w:szCs w:val="24"/>
          <w:lang w:val="en"/>
        </w:rPr>
        <w:t>DES (2016: 85) states that “the current ECF, agreed for the period 2010 to 2014, remains currently in place” and that “the higher education sector has met, and indeed exceeded, all the required reductions in posts”.</w:t>
      </w:r>
    </w:p>
    <w:p w:rsidR="00C84F06" w:rsidRPr="00997775" w:rsidRDefault="00C84F06" w:rsidP="00997775">
      <w:pPr>
        <w:autoSpaceDE w:val="0"/>
        <w:autoSpaceDN w:val="0"/>
        <w:adjustRightInd w:val="0"/>
        <w:spacing w:after="0" w:line="360" w:lineRule="auto"/>
        <w:jc w:val="both"/>
        <w:rPr>
          <w:rFonts w:eastAsia="Times New Roman" w:cs="Arial"/>
          <w:sz w:val="24"/>
          <w:szCs w:val="24"/>
          <w:lang w:val="en"/>
        </w:rPr>
      </w:pPr>
    </w:p>
    <w:p w:rsidR="00AE3E15" w:rsidRPr="00997775" w:rsidRDefault="00210A17" w:rsidP="00997775">
      <w:pPr>
        <w:autoSpaceDE w:val="0"/>
        <w:autoSpaceDN w:val="0"/>
        <w:adjustRightInd w:val="0"/>
        <w:spacing w:after="0" w:line="360" w:lineRule="auto"/>
        <w:jc w:val="both"/>
        <w:rPr>
          <w:rFonts w:cs="Arial"/>
          <w:sz w:val="24"/>
          <w:szCs w:val="24"/>
          <w:lang w:val="en-US"/>
        </w:rPr>
      </w:pPr>
      <w:r w:rsidRPr="00997775">
        <w:rPr>
          <w:rFonts w:cs="Arial"/>
          <w:sz w:val="24"/>
          <w:szCs w:val="24"/>
          <w:lang w:val="en-US"/>
        </w:rPr>
        <w:t>The I</w:t>
      </w:r>
      <w:r w:rsidR="00AE3E15" w:rsidRPr="00997775">
        <w:rPr>
          <w:rFonts w:cs="Arial"/>
          <w:sz w:val="24"/>
          <w:szCs w:val="24"/>
          <w:lang w:val="en-US"/>
        </w:rPr>
        <w:t>nstitute of Technology sector has</w:t>
      </w:r>
      <w:r w:rsidRPr="00997775">
        <w:rPr>
          <w:rFonts w:cs="Arial"/>
          <w:sz w:val="24"/>
          <w:szCs w:val="24"/>
          <w:lang w:val="en-US"/>
        </w:rPr>
        <w:t xml:space="preserve"> </w:t>
      </w:r>
      <w:r w:rsidR="00AE3E15" w:rsidRPr="00997775">
        <w:rPr>
          <w:rFonts w:cs="Arial"/>
          <w:sz w:val="24"/>
          <w:szCs w:val="24"/>
          <w:lang w:val="en-US"/>
        </w:rPr>
        <w:t>suffered a range of anti-educational cutbacks during the ‘austerity’ years. Funding was cut by 35% (€190m) between 2008 and 2015. Over the same time period, student numbers rose by a</w:t>
      </w:r>
      <w:r w:rsidRPr="00997775">
        <w:rPr>
          <w:rFonts w:cs="Arial"/>
          <w:sz w:val="24"/>
          <w:szCs w:val="24"/>
          <w:lang w:val="en-US"/>
        </w:rPr>
        <w:t xml:space="preserve"> staggering </w:t>
      </w:r>
      <w:r w:rsidR="00AE3E15" w:rsidRPr="00997775">
        <w:rPr>
          <w:rFonts w:cs="Arial"/>
          <w:sz w:val="24"/>
          <w:szCs w:val="24"/>
          <w:lang w:val="en-US"/>
        </w:rPr>
        <w:t xml:space="preserve">32% </w:t>
      </w:r>
      <w:r w:rsidRPr="00997775">
        <w:rPr>
          <w:rFonts w:cs="Arial"/>
          <w:sz w:val="24"/>
          <w:szCs w:val="24"/>
          <w:lang w:val="en-US"/>
        </w:rPr>
        <w:t>(</w:t>
      </w:r>
      <w:r w:rsidR="00AE3E15" w:rsidRPr="00997775">
        <w:rPr>
          <w:rFonts w:cs="Arial"/>
          <w:sz w:val="24"/>
          <w:szCs w:val="24"/>
          <w:lang w:val="en-US"/>
        </w:rPr>
        <w:t>21,411</w:t>
      </w:r>
      <w:r w:rsidRPr="00997775">
        <w:rPr>
          <w:rFonts w:cs="Arial"/>
          <w:sz w:val="24"/>
          <w:szCs w:val="24"/>
          <w:lang w:val="en-US"/>
        </w:rPr>
        <w:t>)</w:t>
      </w:r>
      <w:r w:rsidR="00AE3E15" w:rsidRPr="00997775">
        <w:rPr>
          <w:rFonts w:cs="Arial"/>
          <w:sz w:val="24"/>
          <w:szCs w:val="24"/>
          <w:lang w:val="en-US"/>
        </w:rPr>
        <w:t xml:space="preserve"> while, as a result of operation of the</w:t>
      </w:r>
      <w:r w:rsidR="000341D9" w:rsidRPr="00997775">
        <w:rPr>
          <w:rFonts w:cs="Arial"/>
          <w:sz w:val="24"/>
          <w:szCs w:val="24"/>
          <w:lang w:val="en-US"/>
        </w:rPr>
        <w:t xml:space="preserve"> Employment Control Framework (E</w:t>
      </w:r>
      <w:r w:rsidR="00AE3E15" w:rsidRPr="00997775">
        <w:rPr>
          <w:rFonts w:cs="Arial"/>
          <w:sz w:val="24"/>
          <w:szCs w:val="24"/>
          <w:lang w:val="en-US"/>
        </w:rPr>
        <w:t>CF), lecturer numbers fell by 9.5% (535). This has had a serious direct, detrimental effect on the quality of service to students and the working conditions of academics.</w:t>
      </w:r>
    </w:p>
    <w:p w:rsidR="000341D9" w:rsidRPr="00997775" w:rsidRDefault="000341D9" w:rsidP="00997775">
      <w:pPr>
        <w:autoSpaceDE w:val="0"/>
        <w:autoSpaceDN w:val="0"/>
        <w:adjustRightInd w:val="0"/>
        <w:spacing w:after="0" w:line="360" w:lineRule="auto"/>
        <w:jc w:val="both"/>
        <w:rPr>
          <w:rFonts w:cs="Arial"/>
          <w:sz w:val="24"/>
          <w:szCs w:val="24"/>
          <w:lang w:val="en-US"/>
        </w:rPr>
      </w:pPr>
    </w:p>
    <w:p w:rsidR="00AE3E15" w:rsidRPr="00997775" w:rsidRDefault="00AE3E15" w:rsidP="00997775">
      <w:pPr>
        <w:autoSpaceDE w:val="0"/>
        <w:autoSpaceDN w:val="0"/>
        <w:adjustRightInd w:val="0"/>
        <w:spacing w:after="0" w:line="360" w:lineRule="auto"/>
        <w:jc w:val="both"/>
        <w:rPr>
          <w:rFonts w:cs="Arial"/>
          <w:sz w:val="24"/>
          <w:szCs w:val="24"/>
          <w:lang w:val="en-US"/>
        </w:rPr>
      </w:pPr>
      <w:r w:rsidRPr="00997775">
        <w:rPr>
          <w:rFonts w:cs="Arial"/>
          <w:sz w:val="24"/>
          <w:szCs w:val="24"/>
          <w:lang w:val="en-US"/>
        </w:rPr>
        <w:t>While the sharp increase in numbers participating in third level education is most welcome, the complete failure to provide appropriate funding and to maintain appropriate staffing levels is having a direct, negative impact on the student experience of higher education. For example, students now experience larger class sizes, less access to laboratories and libraries and sharp cuts to tutorials and other student supports.</w:t>
      </w:r>
      <w:r w:rsidR="00697FB0" w:rsidRPr="00997775">
        <w:rPr>
          <w:rFonts w:cs="Arial"/>
          <w:sz w:val="24"/>
          <w:szCs w:val="24"/>
          <w:lang w:val="en-US"/>
        </w:rPr>
        <w:t xml:space="preserve">  </w:t>
      </w:r>
      <w:r w:rsidR="00422E4E" w:rsidRPr="00997775">
        <w:rPr>
          <w:rFonts w:cs="Arial"/>
          <w:sz w:val="24"/>
          <w:szCs w:val="24"/>
          <w:lang w:val="en-US"/>
        </w:rPr>
        <w:t xml:space="preserve">The </w:t>
      </w:r>
      <w:r w:rsidR="00697FB0" w:rsidRPr="00997775">
        <w:rPr>
          <w:rFonts w:cs="Arial"/>
          <w:sz w:val="24"/>
          <w:szCs w:val="24"/>
          <w:lang w:val="en-US"/>
        </w:rPr>
        <w:t>TUI considers the current workload of members lecturing in the IoT sector to be excessive and in need of review.  The OECD (2014) stated that the average student to teaching staff ratio for higher education institutions in Europe is 16:1. A low student to teaching staff ratio is a positive indicator of quality, funding and resourcing.  In the IoT sector the ratio is currently 23:1. This high level is putting quality at risk.  There is an urgent need to recruit lecturing staff into the IoT sector to meet the growing demand for student places in higher education.</w:t>
      </w:r>
    </w:p>
    <w:p w:rsidR="00697FB0" w:rsidRPr="00997775" w:rsidRDefault="00697FB0" w:rsidP="00997775">
      <w:pPr>
        <w:autoSpaceDE w:val="0"/>
        <w:autoSpaceDN w:val="0"/>
        <w:adjustRightInd w:val="0"/>
        <w:spacing w:after="0" w:line="360" w:lineRule="auto"/>
        <w:jc w:val="both"/>
        <w:rPr>
          <w:rFonts w:cs="Arial"/>
          <w:sz w:val="24"/>
          <w:szCs w:val="24"/>
          <w:lang w:val="en-US"/>
        </w:rPr>
      </w:pPr>
    </w:p>
    <w:p w:rsidR="0017785B" w:rsidRPr="00997775" w:rsidRDefault="00422E4E" w:rsidP="00997775">
      <w:pPr>
        <w:spacing w:before="100" w:beforeAutospacing="1" w:after="100" w:afterAutospacing="1" w:line="360" w:lineRule="auto"/>
        <w:jc w:val="both"/>
        <w:rPr>
          <w:rFonts w:eastAsia="Times New Roman" w:cs="Arial"/>
          <w:sz w:val="24"/>
          <w:szCs w:val="24"/>
          <w:lang w:val="en"/>
        </w:rPr>
      </w:pPr>
      <w:r w:rsidRPr="00997775">
        <w:rPr>
          <w:rFonts w:eastAsia="Times New Roman" w:cs="Arial"/>
          <w:sz w:val="24"/>
          <w:szCs w:val="24"/>
          <w:lang w:val="en"/>
        </w:rPr>
        <w:t xml:space="preserve">The </w:t>
      </w:r>
      <w:r w:rsidR="0017785B" w:rsidRPr="00997775">
        <w:rPr>
          <w:rFonts w:eastAsia="Times New Roman" w:cs="Arial"/>
          <w:sz w:val="24"/>
          <w:szCs w:val="24"/>
          <w:lang w:val="en"/>
        </w:rPr>
        <w:t xml:space="preserve">TUI considers the IoTs provide a unique regional mission enabling access to higher education opportunities in rural communities throughout the country.  For this regional and rural provision to be sustainable, alternative funding models need to be developed.  The current unit cost model disproportionately favours higher education providers in dense urban settings.  </w:t>
      </w:r>
    </w:p>
    <w:p w:rsidR="0017785B" w:rsidRPr="00997775" w:rsidRDefault="0017785B" w:rsidP="00997775">
      <w:pPr>
        <w:spacing w:before="100" w:beforeAutospacing="1" w:after="100" w:afterAutospacing="1" w:line="360" w:lineRule="auto"/>
        <w:jc w:val="both"/>
        <w:rPr>
          <w:rFonts w:eastAsia="Times New Roman" w:cs="Arial"/>
          <w:sz w:val="24"/>
          <w:szCs w:val="24"/>
          <w:lang w:val="en"/>
        </w:rPr>
      </w:pPr>
    </w:p>
    <w:p w:rsidR="00AE3E15" w:rsidRPr="00997775" w:rsidRDefault="00422E4E" w:rsidP="00997775">
      <w:pPr>
        <w:spacing w:before="100" w:beforeAutospacing="1" w:after="100" w:afterAutospacing="1" w:line="360" w:lineRule="auto"/>
        <w:jc w:val="both"/>
        <w:rPr>
          <w:rFonts w:eastAsia="Times New Roman" w:cs="Arial"/>
          <w:sz w:val="24"/>
          <w:szCs w:val="24"/>
          <w:lang w:val="en"/>
        </w:rPr>
      </w:pPr>
      <w:r w:rsidRPr="00997775">
        <w:rPr>
          <w:rFonts w:eastAsia="Times New Roman" w:cs="Arial"/>
          <w:sz w:val="24"/>
          <w:szCs w:val="24"/>
          <w:lang w:val="en"/>
        </w:rPr>
        <w:t xml:space="preserve">The </w:t>
      </w:r>
      <w:r w:rsidR="00AE3E15" w:rsidRPr="00997775">
        <w:rPr>
          <w:rFonts w:eastAsia="Times New Roman" w:cs="Arial"/>
          <w:sz w:val="24"/>
          <w:szCs w:val="24"/>
          <w:lang w:val="en"/>
        </w:rPr>
        <w:t>TUI has repeatedly highlighted the opportunity to properly fund third level education by proposing a one percentage point increase in the Corporation Tax rate.  This would allow employers, who benefit from our highly educated and young workforce, to make a meaningful contribution to the education of that workforce through this contribution to a ring-fenced fund.</w:t>
      </w:r>
    </w:p>
    <w:p w:rsidR="00AE3E15" w:rsidRPr="00997775" w:rsidRDefault="00AE3E15" w:rsidP="00997775">
      <w:pPr>
        <w:spacing w:before="100" w:beforeAutospacing="1" w:after="100" w:afterAutospacing="1" w:line="360" w:lineRule="auto"/>
        <w:jc w:val="both"/>
        <w:rPr>
          <w:rFonts w:eastAsia="Times New Roman" w:cs="Arial"/>
          <w:sz w:val="24"/>
          <w:szCs w:val="24"/>
          <w:lang w:val="en"/>
        </w:rPr>
      </w:pPr>
    </w:p>
    <w:p w:rsidR="0006636D" w:rsidRPr="00997775" w:rsidRDefault="00AE3E15" w:rsidP="00997775">
      <w:pPr>
        <w:spacing w:before="100" w:beforeAutospacing="1" w:after="100" w:afterAutospacing="1" w:line="360" w:lineRule="auto"/>
        <w:jc w:val="both"/>
        <w:rPr>
          <w:rFonts w:eastAsia="Times New Roman" w:cs="Arial"/>
          <w:sz w:val="24"/>
          <w:szCs w:val="24"/>
          <w:u w:val="single"/>
          <w:lang w:val="en"/>
        </w:rPr>
      </w:pPr>
      <w:r w:rsidRPr="00997775">
        <w:rPr>
          <w:rFonts w:eastAsia="Times New Roman" w:cs="Arial"/>
          <w:sz w:val="24"/>
          <w:szCs w:val="24"/>
          <w:u w:val="single"/>
          <w:lang w:val="en"/>
        </w:rPr>
        <w:t>Professional D</w:t>
      </w:r>
      <w:r w:rsidR="0006636D" w:rsidRPr="00997775">
        <w:rPr>
          <w:rFonts w:eastAsia="Times New Roman" w:cs="Arial"/>
          <w:sz w:val="24"/>
          <w:szCs w:val="24"/>
          <w:u w:val="single"/>
          <w:lang w:val="en"/>
        </w:rPr>
        <w:t>evelopment</w:t>
      </w:r>
    </w:p>
    <w:p w:rsidR="00AE3E15" w:rsidRPr="00997775" w:rsidRDefault="00422E4E" w:rsidP="00997775">
      <w:pPr>
        <w:spacing w:before="100" w:beforeAutospacing="1" w:after="100" w:afterAutospacing="1" w:line="360" w:lineRule="auto"/>
        <w:jc w:val="both"/>
        <w:rPr>
          <w:rFonts w:eastAsia="Times New Roman" w:cs="Arial"/>
          <w:sz w:val="24"/>
          <w:szCs w:val="24"/>
          <w:lang w:val="en"/>
        </w:rPr>
      </w:pPr>
      <w:r w:rsidRPr="00997775">
        <w:rPr>
          <w:rFonts w:eastAsia="Times New Roman" w:cs="Arial"/>
          <w:sz w:val="24"/>
          <w:szCs w:val="24"/>
          <w:lang w:val="en"/>
        </w:rPr>
        <w:t xml:space="preserve">The </w:t>
      </w:r>
      <w:r w:rsidR="00AE3E15" w:rsidRPr="00997775">
        <w:rPr>
          <w:rFonts w:eastAsia="Times New Roman" w:cs="Arial"/>
          <w:sz w:val="24"/>
          <w:szCs w:val="24"/>
          <w:lang w:val="en"/>
        </w:rPr>
        <w:t xml:space="preserve">TUI believes that it essential for all staff in the education system to have access to professional development opportunities.  These opportunities should be held within normal working time and should be funded by the relevant employer. </w:t>
      </w:r>
      <w:r w:rsidR="00894C32" w:rsidRPr="00997775">
        <w:rPr>
          <w:rFonts w:eastAsia="Times New Roman" w:cs="Arial"/>
          <w:sz w:val="24"/>
          <w:szCs w:val="24"/>
          <w:lang w:val="en"/>
        </w:rPr>
        <w:t xml:space="preserve">The </w:t>
      </w:r>
      <w:r w:rsidR="0017785B" w:rsidRPr="00997775">
        <w:rPr>
          <w:rFonts w:eastAsia="Times New Roman" w:cs="Arial"/>
          <w:sz w:val="24"/>
          <w:szCs w:val="24"/>
          <w:lang w:val="en"/>
        </w:rPr>
        <w:t>TUI considers the conferences, seminars and training provided to our members should be recognised for the purposes of CPD</w:t>
      </w:r>
      <w:r w:rsidR="00AE3E15" w:rsidRPr="00997775">
        <w:rPr>
          <w:rFonts w:eastAsia="Times New Roman" w:cs="Arial"/>
          <w:sz w:val="24"/>
          <w:szCs w:val="24"/>
          <w:lang w:val="en"/>
        </w:rPr>
        <w:t xml:space="preserve"> </w:t>
      </w:r>
    </w:p>
    <w:p w:rsidR="00AE3E15" w:rsidRPr="00997775" w:rsidRDefault="00AE3E15" w:rsidP="00997775">
      <w:pPr>
        <w:spacing w:before="100" w:beforeAutospacing="1" w:after="100" w:afterAutospacing="1" w:line="360" w:lineRule="auto"/>
        <w:jc w:val="both"/>
        <w:rPr>
          <w:rFonts w:eastAsia="Times New Roman" w:cs="Arial"/>
          <w:sz w:val="24"/>
          <w:szCs w:val="24"/>
          <w:lang w:val="en"/>
        </w:rPr>
      </w:pPr>
    </w:p>
    <w:p w:rsidR="00AE3E15" w:rsidRPr="00997775" w:rsidRDefault="00AE3E15" w:rsidP="00997775">
      <w:pPr>
        <w:spacing w:before="100" w:beforeAutospacing="1" w:after="100" w:afterAutospacing="1" w:line="360" w:lineRule="auto"/>
        <w:jc w:val="both"/>
        <w:rPr>
          <w:rFonts w:eastAsia="Times New Roman" w:cs="Arial"/>
          <w:sz w:val="24"/>
          <w:szCs w:val="24"/>
          <w:u w:val="single"/>
          <w:lang w:val="en"/>
        </w:rPr>
      </w:pPr>
      <w:r w:rsidRPr="00997775">
        <w:rPr>
          <w:rFonts w:eastAsia="Times New Roman" w:cs="Arial"/>
          <w:sz w:val="24"/>
          <w:szCs w:val="24"/>
          <w:u w:val="single"/>
          <w:lang w:val="en"/>
        </w:rPr>
        <w:t>Guidance Support</w:t>
      </w:r>
    </w:p>
    <w:p w:rsidR="00D014F6" w:rsidRPr="00997775" w:rsidRDefault="00894C32" w:rsidP="00997775">
      <w:pPr>
        <w:spacing w:before="100" w:beforeAutospacing="1" w:after="100" w:afterAutospacing="1" w:line="360" w:lineRule="auto"/>
        <w:jc w:val="both"/>
        <w:rPr>
          <w:rFonts w:eastAsia="Times New Roman" w:cs="Arial"/>
          <w:sz w:val="24"/>
          <w:szCs w:val="24"/>
          <w:lang w:val="en"/>
        </w:rPr>
      </w:pPr>
      <w:r w:rsidRPr="00997775">
        <w:rPr>
          <w:rFonts w:eastAsia="Times New Roman" w:cs="Arial"/>
          <w:sz w:val="24"/>
          <w:szCs w:val="24"/>
          <w:lang w:val="en"/>
        </w:rPr>
        <w:t xml:space="preserve">The </w:t>
      </w:r>
      <w:r w:rsidR="00AE3E15" w:rsidRPr="00997775">
        <w:rPr>
          <w:rFonts w:eastAsia="Times New Roman" w:cs="Arial"/>
          <w:sz w:val="24"/>
          <w:szCs w:val="24"/>
          <w:lang w:val="en"/>
        </w:rPr>
        <w:t xml:space="preserve">TUI has previously welcomed the </w:t>
      </w:r>
      <w:r w:rsidR="00BF7EF9" w:rsidRPr="00997775">
        <w:rPr>
          <w:rFonts w:eastAsia="Times New Roman" w:cs="Arial"/>
          <w:sz w:val="24"/>
          <w:szCs w:val="24"/>
          <w:lang w:val="en"/>
        </w:rPr>
        <w:t>actions of the DES</w:t>
      </w:r>
      <w:r w:rsidR="00237633" w:rsidRPr="00997775">
        <w:rPr>
          <w:rFonts w:eastAsia="Times New Roman" w:cs="Arial"/>
          <w:sz w:val="24"/>
          <w:szCs w:val="24"/>
          <w:lang w:val="en"/>
        </w:rPr>
        <w:t xml:space="preserve"> in providing some alleviation to the abolition of ex-quota guidance in schools.  TUI asks the DES to take the next step, as the economy </w:t>
      </w:r>
      <w:r w:rsidRPr="00997775">
        <w:rPr>
          <w:rFonts w:eastAsia="Times New Roman" w:cs="Arial"/>
          <w:sz w:val="24"/>
          <w:szCs w:val="24"/>
          <w:lang w:val="en"/>
        </w:rPr>
        <w:t>continues to grow rapidly</w:t>
      </w:r>
      <w:r w:rsidR="00113177" w:rsidRPr="00997775">
        <w:rPr>
          <w:rFonts w:eastAsia="Times New Roman" w:cs="Arial"/>
          <w:sz w:val="24"/>
          <w:szCs w:val="24"/>
          <w:lang w:val="en"/>
        </w:rPr>
        <w:t xml:space="preserve"> </w:t>
      </w:r>
      <w:r w:rsidR="00113177" w:rsidRPr="00997775">
        <w:rPr>
          <w:sz w:val="24"/>
          <w:szCs w:val="24"/>
        </w:rPr>
        <w:t>(OECD, 2018; ESRI, 2018; Central Bank, 2018; EY, 2018; IMF, 2017; EU Commission 2017; NERI, 2018)</w:t>
      </w:r>
      <w:r w:rsidR="00237633" w:rsidRPr="00997775">
        <w:rPr>
          <w:rFonts w:eastAsia="Times New Roman" w:cs="Arial"/>
          <w:sz w:val="24"/>
          <w:szCs w:val="24"/>
          <w:lang w:val="en"/>
        </w:rPr>
        <w:t>, to restore full ex-quota guidance at the earliest opportunity.</w:t>
      </w:r>
      <w:r w:rsidR="0063366D" w:rsidRPr="00997775">
        <w:rPr>
          <w:rFonts w:eastAsia="Times New Roman" w:cs="Arial"/>
          <w:sz w:val="24"/>
          <w:szCs w:val="24"/>
          <w:lang w:val="en"/>
        </w:rPr>
        <w:t xml:space="preserve">  Mental health issues have increased among students and the lack of adequate counselling support could lead to tragic outcomes.  The restoration of middle management posts would also contribute to re-creating the pastoral system that supported students previously.</w:t>
      </w:r>
    </w:p>
    <w:p w:rsidR="00237633" w:rsidRPr="00997775" w:rsidRDefault="00237633" w:rsidP="00997775">
      <w:pPr>
        <w:spacing w:before="100" w:beforeAutospacing="1" w:after="100" w:afterAutospacing="1" w:line="360" w:lineRule="auto"/>
        <w:jc w:val="both"/>
        <w:rPr>
          <w:rFonts w:eastAsia="Times New Roman" w:cs="Arial"/>
          <w:color w:val="172434"/>
          <w:sz w:val="24"/>
          <w:szCs w:val="24"/>
          <w:lang w:val="en"/>
        </w:rPr>
      </w:pPr>
    </w:p>
    <w:p w:rsidR="006928E9" w:rsidRDefault="006928E9" w:rsidP="00997775">
      <w:pPr>
        <w:spacing w:line="360" w:lineRule="auto"/>
        <w:jc w:val="both"/>
        <w:rPr>
          <w:rFonts w:cs="Arial"/>
          <w:sz w:val="24"/>
          <w:szCs w:val="24"/>
          <w:u w:val="single"/>
        </w:rPr>
      </w:pPr>
      <w:r>
        <w:rPr>
          <w:rFonts w:cs="Arial"/>
          <w:sz w:val="24"/>
          <w:szCs w:val="24"/>
          <w:u w:val="single"/>
        </w:rPr>
        <w:t>Teacher Recruitment and Retention</w:t>
      </w:r>
    </w:p>
    <w:p w:rsidR="006928E9" w:rsidRPr="006928E9" w:rsidRDefault="006928E9" w:rsidP="006928E9">
      <w:pPr>
        <w:pStyle w:val="NormalWeb"/>
        <w:spacing w:line="360" w:lineRule="auto"/>
        <w:jc w:val="both"/>
        <w:rPr>
          <w:rFonts w:asciiTheme="minorHAnsi" w:hAnsiTheme="minorHAnsi" w:cs="Arial"/>
          <w:lang w:val="en" w:eastAsia="en-US"/>
        </w:rPr>
      </w:pPr>
      <w:r w:rsidRPr="006928E9">
        <w:rPr>
          <w:rFonts w:asciiTheme="minorHAnsi" w:hAnsiTheme="minorHAnsi" w:cs="Arial"/>
          <w:lang w:val="en" w:eastAsia="en-US"/>
        </w:rPr>
        <w:t>In October 2018, members of the Teache</w:t>
      </w:r>
      <w:r w:rsidR="00E03DFB">
        <w:rPr>
          <w:rFonts w:asciiTheme="minorHAnsi" w:hAnsiTheme="minorHAnsi" w:cs="Arial"/>
          <w:lang w:val="en" w:eastAsia="en-US"/>
        </w:rPr>
        <w:t xml:space="preserve">rs’ Union of Ireland (TUI) </w:t>
      </w:r>
      <w:r w:rsidRPr="006928E9">
        <w:rPr>
          <w:rFonts w:asciiTheme="minorHAnsi" w:hAnsiTheme="minorHAnsi" w:cs="Arial"/>
          <w:lang w:val="en" w:eastAsia="en-US"/>
        </w:rPr>
        <w:t>voted to accept a proposal on ‘new entrant’ salary scale issues by a margin of 53% to 47% in the context of the union’s ongoing campaign</w:t>
      </w:r>
      <w:r w:rsidR="00E03DFB">
        <w:rPr>
          <w:rFonts w:asciiTheme="minorHAnsi" w:hAnsiTheme="minorHAnsi" w:cs="Arial"/>
          <w:lang w:val="en" w:eastAsia="en-US"/>
        </w:rPr>
        <w:t xml:space="preserve"> for pay equality</w:t>
      </w:r>
      <w:r w:rsidRPr="006928E9">
        <w:rPr>
          <w:rFonts w:asciiTheme="minorHAnsi" w:hAnsiTheme="minorHAnsi" w:cs="Arial"/>
          <w:lang w:val="en" w:eastAsia="en-US"/>
        </w:rPr>
        <w:t>. The union has warned that, of itself, this measure does not deliver pay equality. The union has also said that it will have little impact on the deepening crisis of recruitment and retention.  There is no such thing as partial pay equality and the continuing injustice of discrimination against new and recent entrants to teaching remains to be comprehensively addressed.</w:t>
      </w:r>
    </w:p>
    <w:p w:rsidR="006928E9" w:rsidRDefault="006928E9" w:rsidP="006928E9">
      <w:pPr>
        <w:spacing w:after="150" w:line="360" w:lineRule="auto"/>
        <w:jc w:val="both"/>
        <w:rPr>
          <w:rFonts w:eastAsia="Times New Roman" w:cs="Arial"/>
          <w:sz w:val="24"/>
          <w:szCs w:val="24"/>
          <w:lang w:val="en"/>
        </w:rPr>
      </w:pPr>
    </w:p>
    <w:p w:rsidR="006928E9" w:rsidRPr="006928E9" w:rsidRDefault="006928E9" w:rsidP="006928E9">
      <w:pPr>
        <w:spacing w:after="150" w:line="360" w:lineRule="auto"/>
        <w:jc w:val="both"/>
        <w:rPr>
          <w:rFonts w:eastAsia="Times New Roman" w:cs="Arial"/>
          <w:sz w:val="24"/>
          <w:szCs w:val="24"/>
          <w:lang w:val="en"/>
        </w:rPr>
      </w:pPr>
      <w:r w:rsidRPr="006928E9">
        <w:rPr>
          <w:rFonts w:eastAsia="Times New Roman" w:cs="Arial"/>
          <w:sz w:val="24"/>
          <w:szCs w:val="24"/>
          <w:lang w:val="en"/>
        </w:rPr>
        <w:t>What remains to be achieved?</w:t>
      </w:r>
    </w:p>
    <w:p w:rsidR="00BE7055" w:rsidRDefault="006928E9" w:rsidP="00BE7055">
      <w:pPr>
        <w:pStyle w:val="ListParagraph"/>
        <w:numPr>
          <w:ilvl w:val="0"/>
          <w:numId w:val="31"/>
        </w:numPr>
        <w:spacing w:before="100" w:beforeAutospacing="1" w:after="225" w:line="360" w:lineRule="auto"/>
        <w:jc w:val="both"/>
        <w:rPr>
          <w:rFonts w:eastAsia="Times New Roman" w:cs="Arial"/>
          <w:sz w:val="24"/>
          <w:szCs w:val="24"/>
          <w:lang w:val="en"/>
        </w:rPr>
      </w:pPr>
      <w:r w:rsidRPr="00BE7055">
        <w:rPr>
          <w:rFonts w:eastAsia="Times New Roman" w:cs="Arial"/>
          <w:sz w:val="24"/>
          <w:szCs w:val="24"/>
          <w:lang w:val="en"/>
        </w:rPr>
        <w:t>Elimination of the remaining differences in the early p</w:t>
      </w:r>
      <w:r w:rsidR="00BE7055">
        <w:rPr>
          <w:rFonts w:eastAsia="Times New Roman" w:cs="Arial"/>
          <w:sz w:val="24"/>
          <w:szCs w:val="24"/>
          <w:lang w:val="en"/>
        </w:rPr>
        <w:t>oints of scale</w:t>
      </w:r>
    </w:p>
    <w:p w:rsidR="00BE7055" w:rsidRDefault="006928E9" w:rsidP="00BE7055">
      <w:pPr>
        <w:pStyle w:val="ListParagraph"/>
        <w:numPr>
          <w:ilvl w:val="0"/>
          <w:numId w:val="31"/>
        </w:numPr>
        <w:spacing w:before="100" w:beforeAutospacing="1" w:after="225" w:line="360" w:lineRule="auto"/>
        <w:jc w:val="both"/>
        <w:rPr>
          <w:rFonts w:eastAsia="Times New Roman" w:cs="Arial"/>
          <w:sz w:val="24"/>
          <w:szCs w:val="24"/>
          <w:lang w:val="en"/>
        </w:rPr>
      </w:pPr>
      <w:r w:rsidRPr="00BE7055">
        <w:rPr>
          <w:rFonts w:eastAsia="Times New Roman" w:cs="Arial"/>
          <w:sz w:val="24"/>
          <w:szCs w:val="24"/>
          <w:lang w:val="en"/>
        </w:rPr>
        <w:t>Restoration of the HDip/PME allowance (formerly payable to holders of the Professional Master o</w:t>
      </w:r>
      <w:r w:rsidR="00BE7055">
        <w:rPr>
          <w:rFonts w:eastAsia="Times New Roman" w:cs="Arial"/>
          <w:sz w:val="24"/>
          <w:szCs w:val="24"/>
          <w:lang w:val="en"/>
        </w:rPr>
        <w:t>f Education (PME) qualification</w:t>
      </w:r>
    </w:p>
    <w:p w:rsidR="006928E9" w:rsidRPr="00BE7055" w:rsidRDefault="006928E9" w:rsidP="00BE7055">
      <w:pPr>
        <w:pStyle w:val="ListParagraph"/>
        <w:numPr>
          <w:ilvl w:val="0"/>
          <w:numId w:val="31"/>
        </w:numPr>
        <w:spacing w:before="100" w:beforeAutospacing="1" w:after="225" w:line="360" w:lineRule="auto"/>
        <w:jc w:val="both"/>
        <w:rPr>
          <w:rFonts w:eastAsia="Times New Roman" w:cs="Arial"/>
          <w:sz w:val="24"/>
          <w:szCs w:val="24"/>
          <w:lang w:val="en"/>
        </w:rPr>
      </w:pPr>
      <w:r w:rsidRPr="00BE7055">
        <w:rPr>
          <w:rFonts w:eastAsia="Times New Roman" w:cs="Arial"/>
          <w:sz w:val="24"/>
          <w:szCs w:val="24"/>
          <w:lang w:val="en"/>
        </w:rPr>
        <w:t>Restoration of commencement on point 3 of scale in recognition of six-year (primary degree and PME) training period</w:t>
      </w:r>
    </w:p>
    <w:p w:rsidR="006928E9" w:rsidRPr="006928E9" w:rsidRDefault="006928E9" w:rsidP="006928E9">
      <w:pPr>
        <w:spacing w:after="150" w:line="360" w:lineRule="auto"/>
        <w:jc w:val="both"/>
        <w:rPr>
          <w:rFonts w:eastAsia="Times New Roman" w:cs="Arial"/>
          <w:sz w:val="24"/>
          <w:szCs w:val="24"/>
          <w:lang w:val="en"/>
        </w:rPr>
      </w:pPr>
      <w:r w:rsidRPr="006928E9">
        <w:rPr>
          <w:rFonts w:eastAsia="Times New Roman" w:cs="Arial"/>
          <w:sz w:val="24"/>
          <w:szCs w:val="24"/>
          <w:lang w:val="en"/>
        </w:rPr>
        <w:t>There has been a fall of over 50% in the numbers applying for places on the PME postgraduate teacher education courses between 2011 and 2018</w:t>
      </w:r>
      <w:r w:rsidR="00BE7055">
        <w:rPr>
          <w:rFonts w:eastAsia="Times New Roman" w:cs="Arial"/>
          <w:sz w:val="24"/>
          <w:szCs w:val="24"/>
          <w:lang w:val="en"/>
        </w:rPr>
        <w:t xml:space="preserve"> (TUI, 2018)</w:t>
      </w:r>
      <w:r w:rsidRPr="006928E9">
        <w:rPr>
          <w:rFonts w:eastAsia="Times New Roman" w:cs="Arial"/>
          <w:sz w:val="24"/>
          <w:szCs w:val="24"/>
          <w:lang w:val="en"/>
        </w:rPr>
        <w:t>. This catastrophic drop coincided with withdrawal of the HDip allowance and abolition of incremental recognition for the period of per-service, unpaid training.</w:t>
      </w:r>
    </w:p>
    <w:p w:rsidR="006928E9" w:rsidRPr="006928E9" w:rsidRDefault="006928E9" w:rsidP="006928E9">
      <w:pPr>
        <w:spacing w:line="360" w:lineRule="auto"/>
        <w:jc w:val="both"/>
        <w:rPr>
          <w:rFonts w:eastAsia="Times New Roman" w:cs="Arial"/>
          <w:sz w:val="24"/>
          <w:szCs w:val="24"/>
          <w:lang w:val="en"/>
        </w:rPr>
      </w:pPr>
      <w:r w:rsidRPr="006928E9">
        <w:rPr>
          <w:rFonts w:eastAsia="Times New Roman" w:cs="Arial"/>
          <w:sz w:val="24"/>
          <w:szCs w:val="24"/>
          <w:lang w:val="en"/>
        </w:rPr>
        <w:t>Another causal factor in the crisis is that most new entrants to teaching are offered part-time work. Very few earn a full salary from initial appointment. They struggle to get by and many decide to leav</w:t>
      </w:r>
      <w:r w:rsidR="00BE7055">
        <w:rPr>
          <w:rFonts w:eastAsia="Times New Roman" w:cs="Arial"/>
          <w:sz w:val="24"/>
          <w:szCs w:val="24"/>
          <w:lang w:val="en"/>
        </w:rPr>
        <w:t>e teaching.</w:t>
      </w:r>
    </w:p>
    <w:p w:rsidR="006928E9" w:rsidRPr="006928E9" w:rsidRDefault="006928E9" w:rsidP="006928E9">
      <w:pPr>
        <w:spacing w:line="360" w:lineRule="auto"/>
        <w:jc w:val="both"/>
        <w:rPr>
          <w:rFonts w:eastAsia="Times New Roman" w:cs="Arial"/>
          <w:sz w:val="24"/>
          <w:szCs w:val="24"/>
          <w:lang w:val="en"/>
        </w:rPr>
      </w:pPr>
    </w:p>
    <w:p w:rsidR="00BF7EF9" w:rsidRPr="00997775" w:rsidRDefault="00BF7EF9" w:rsidP="00997775">
      <w:pPr>
        <w:spacing w:line="360" w:lineRule="auto"/>
        <w:jc w:val="both"/>
        <w:rPr>
          <w:rFonts w:cs="Arial"/>
          <w:sz w:val="24"/>
          <w:szCs w:val="24"/>
          <w:u w:val="single"/>
        </w:rPr>
      </w:pPr>
      <w:r w:rsidRPr="00997775">
        <w:rPr>
          <w:rFonts w:cs="Arial"/>
          <w:sz w:val="24"/>
          <w:szCs w:val="24"/>
          <w:u w:val="single"/>
        </w:rPr>
        <w:t>Conclusion</w:t>
      </w:r>
    </w:p>
    <w:p w:rsidR="00BF7EF9" w:rsidRPr="00997775" w:rsidRDefault="00BF7EF9" w:rsidP="00997775">
      <w:pPr>
        <w:spacing w:line="360" w:lineRule="auto"/>
        <w:jc w:val="both"/>
        <w:rPr>
          <w:rFonts w:cs="Arial"/>
          <w:sz w:val="24"/>
          <w:szCs w:val="24"/>
        </w:rPr>
      </w:pPr>
      <w:r w:rsidRPr="00997775">
        <w:rPr>
          <w:rFonts w:cs="Arial"/>
          <w:sz w:val="24"/>
          <w:szCs w:val="24"/>
        </w:rPr>
        <w:t xml:space="preserve">To sum up, </w:t>
      </w:r>
      <w:r w:rsidR="00113177" w:rsidRPr="00997775">
        <w:rPr>
          <w:rFonts w:cs="Arial"/>
          <w:sz w:val="24"/>
          <w:szCs w:val="24"/>
        </w:rPr>
        <w:t xml:space="preserve">the </w:t>
      </w:r>
      <w:r w:rsidRPr="00997775">
        <w:rPr>
          <w:rFonts w:cs="Arial"/>
          <w:sz w:val="24"/>
          <w:szCs w:val="24"/>
        </w:rPr>
        <w:t>TUI believes that the priority areas for the DES over the next three years should be:</w:t>
      </w:r>
    </w:p>
    <w:p w:rsidR="00BF7EF9" w:rsidRPr="00997775" w:rsidRDefault="00BF7EF9" w:rsidP="00997775">
      <w:pPr>
        <w:pStyle w:val="ListParagraph"/>
        <w:numPr>
          <w:ilvl w:val="0"/>
          <w:numId w:val="28"/>
        </w:numPr>
        <w:spacing w:line="360" w:lineRule="auto"/>
        <w:jc w:val="both"/>
        <w:rPr>
          <w:rFonts w:cs="Arial"/>
          <w:sz w:val="24"/>
          <w:szCs w:val="24"/>
        </w:rPr>
      </w:pPr>
      <w:r w:rsidRPr="00997775">
        <w:rPr>
          <w:rFonts w:cs="Arial"/>
          <w:sz w:val="24"/>
          <w:szCs w:val="24"/>
        </w:rPr>
        <w:t>Implementation of EPSEN with adequate funding</w:t>
      </w:r>
    </w:p>
    <w:p w:rsidR="00BF7EF9" w:rsidRPr="00997775" w:rsidRDefault="00BF7EF9" w:rsidP="00997775">
      <w:pPr>
        <w:pStyle w:val="ListParagraph"/>
        <w:numPr>
          <w:ilvl w:val="0"/>
          <w:numId w:val="28"/>
        </w:numPr>
        <w:spacing w:line="360" w:lineRule="auto"/>
        <w:jc w:val="both"/>
        <w:rPr>
          <w:rFonts w:cs="Arial"/>
          <w:sz w:val="24"/>
          <w:szCs w:val="24"/>
        </w:rPr>
      </w:pPr>
      <w:r w:rsidRPr="00997775">
        <w:rPr>
          <w:rFonts w:cs="Arial"/>
          <w:sz w:val="24"/>
          <w:szCs w:val="24"/>
        </w:rPr>
        <w:t>Adequate funding of the third level sector</w:t>
      </w:r>
    </w:p>
    <w:p w:rsidR="00BF7EF9" w:rsidRPr="00997775" w:rsidRDefault="00BF7EF9" w:rsidP="00997775">
      <w:pPr>
        <w:pStyle w:val="ListParagraph"/>
        <w:numPr>
          <w:ilvl w:val="0"/>
          <w:numId w:val="28"/>
        </w:numPr>
        <w:spacing w:line="360" w:lineRule="auto"/>
        <w:jc w:val="both"/>
        <w:rPr>
          <w:rFonts w:cs="Arial"/>
          <w:sz w:val="24"/>
          <w:szCs w:val="24"/>
        </w:rPr>
      </w:pPr>
      <w:r w:rsidRPr="00997775">
        <w:rPr>
          <w:rFonts w:cs="Arial"/>
          <w:sz w:val="24"/>
          <w:szCs w:val="24"/>
        </w:rPr>
        <w:t>Support for adult and further education and a recognition of its broad and diverse role</w:t>
      </w:r>
    </w:p>
    <w:p w:rsidR="00BF7EF9" w:rsidRPr="00997775" w:rsidRDefault="00BF7EF9" w:rsidP="00997775">
      <w:pPr>
        <w:pStyle w:val="ListParagraph"/>
        <w:numPr>
          <w:ilvl w:val="0"/>
          <w:numId w:val="28"/>
        </w:numPr>
        <w:spacing w:line="360" w:lineRule="auto"/>
        <w:jc w:val="both"/>
        <w:rPr>
          <w:rFonts w:cs="Arial"/>
          <w:sz w:val="24"/>
          <w:szCs w:val="24"/>
        </w:rPr>
      </w:pPr>
      <w:r w:rsidRPr="00997775">
        <w:rPr>
          <w:rFonts w:cs="Arial"/>
          <w:sz w:val="24"/>
          <w:szCs w:val="24"/>
        </w:rPr>
        <w:t>Focus on a small number of essential initiatives rather than a ‘scattergun’ approach</w:t>
      </w:r>
    </w:p>
    <w:p w:rsidR="00BF7EF9" w:rsidRPr="00997775" w:rsidRDefault="00BF7EF9" w:rsidP="00997775">
      <w:pPr>
        <w:pStyle w:val="ListParagraph"/>
        <w:numPr>
          <w:ilvl w:val="0"/>
          <w:numId w:val="28"/>
        </w:numPr>
        <w:spacing w:line="360" w:lineRule="auto"/>
        <w:jc w:val="both"/>
        <w:rPr>
          <w:rFonts w:cs="Arial"/>
          <w:sz w:val="24"/>
          <w:szCs w:val="24"/>
        </w:rPr>
      </w:pPr>
      <w:r w:rsidRPr="00997775">
        <w:rPr>
          <w:rFonts w:cs="Arial"/>
          <w:sz w:val="24"/>
          <w:szCs w:val="24"/>
        </w:rPr>
        <w:t>Support for the unique role of Institutes of Technology</w:t>
      </w:r>
    </w:p>
    <w:p w:rsidR="00BF7EF9" w:rsidRPr="00997775" w:rsidRDefault="00BF7EF9" w:rsidP="00997775">
      <w:pPr>
        <w:pStyle w:val="ListParagraph"/>
        <w:numPr>
          <w:ilvl w:val="0"/>
          <w:numId w:val="28"/>
        </w:numPr>
        <w:spacing w:line="360" w:lineRule="auto"/>
        <w:jc w:val="both"/>
        <w:rPr>
          <w:rFonts w:cs="Arial"/>
          <w:sz w:val="24"/>
          <w:szCs w:val="24"/>
        </w:rPr>
      </w:pPr>
      <w:r w:rsidRPr="00997775">
        <w:rPr>
          <w:rFonts w:cs="Arial"/>
          <w:sz w:val="24"/>
          <w:szCs w:val="24"/>
        </w:rPr>
        <w:t>Ongoing support for programmes tackling educational disadvantage</w:t>
      </w:r>
    </w:p>
    <w:p w:rsidR="0063366D" w:rsidRDefault="0063366D" w:rsidP="00997775">
      <w:pPr>
        <w:pStyle w:val="ListParagraph"/>
        <w:numPr>
          <w:ilvl w:val="0"/>
          <w:numId w:val="28"/>
        </w:numPr>
        <w:spacing w:line="360" w:lineRule="auto"/>
        <w:jc w:val="both"/>
        <w:rPr>
          <w:rFonts w:cs="Arial"/>
          <w:sz w:val="24"/>
          <w:szCs w:val="24"/>
        </w:rPr>
      </w:pPr>
      <w:r w:rsidRPr="00997775">
        <w:rPr>
          <w:rFonts w:cs="Arial"/>
          <w:sz w:val="24"/>
          <w:szCs w:val="24"/>
        </w:rPr>
        <w:t>Restoration of pastoral support systems</w:t>
      </w:r>
    </w:p>
    <w:p w:rsidR="00316E6E" w:rsidRPr="00997775" w:rsidRDefault="00316E6E" w:rsidP="00997775">
      <w:pPr>
        <w:pStyle w:val="ListParagraph"/>
        <w:numPr>
          <w:ilvl w:val="0"/>
          <w:numId w:val="28"/>
        </w:numPr>
        <w:spacing w:line="360" w:lineRule="auto"/>
        <w:jc w:val="both"/>
        <w:rPr>
          <w:rFonts w:cs="Arial"/>
          <w:sz w:val="24"/>
          <w:szCs w:val="24"/>
        </w:rPr>
      </w:pPr>
      <w:r>
        <w:rPr>
          <w:rFonts w:cs="Arial"/>
          <w:sz w:val="24"/>
          <w:szCs w:val="24"/>
        </w:rPr>
        <w:t>Full restoration of pay scales and allowances</w:t>
      </w:r>
    </w:p>
    <w:p w:rsidR="00BF7EF9" w:rsidRPr="00997775" w:rsidRDefault="00BF7EF9" w:rsidP="00997775">
      <w:pPr>
        <w:spacing w:line="360" w:lineRule="auto"/>
        <w:jc w:val="both"/>
        <w:rPr>
          <w:rFonts w:cs="Arial"/>
          <w:sz w:val="24"/>
          <w:szCs w:val="24"/>
        </w:rPr>
      </w:pPr>
    </w:p>
    <w:p w:rsidR="0061355D" w:rsidRPr="00997775" w:rsidRDefault="0061355D" w:rsidP="00997775">
      <w:pPr>
        <w:spacing w:line="360" w:lineRule="auto"/>
        <w:jc w:val="both"/>
        <w:rPr>
          <w:rFonts w:cs="Arial"/>
          <w:sz w:val="24"/>
          <w:szCs w:val="24"/>
        </w:rPr>
      </w:pPr>
    </w:p>
    <w:p w:rsidR="00E73014" w:rsidRPr="00997775" w:rsidRDefault="00E73014" w:rsidP="00997775">
      <w:pPr>
        <w:spacing w:line="360" w:lineRule="auto"/>
        <w:jc w:val="both"/>
        <w:rPr>
          <w:rFonts w:cs="Arial"/>
          <w:sz w:val="24"/>
          <w:szCs w:val="24"/>
        </w:rPr>
      </w:pPr>
      <w:r w:rsidRPr="00997775">
        <w:rPr>
          <w:rFonts w:cs="Arial"/>
          <w:sz w:val="24"/>
          <w:szCs w:val="24"/>
        </w:rPr>
        <w:t xml:space="preserve">Ends </w:t>
      </w:r>
    </w:p>
    <w:p w:rsidR="00E73014" w:rsidRPr="00997775" w:rsidRDefault="00EE42E6" w:rsidP="00997775">
      <w:pPr>
        <w:spacing w:line="360" w:lineRule="auto"/>
        <w:jc w:val="both"/>
        <w:rPr>
          <w:rFonts w:cs="Arial"/>
          <w:b/>
          <w:sz w:val="24"/>
          <w:szCs w:val="24"/>
        </w:rPr>
      </w:pPr>
      <w:r w:rsidRPr="00997775">
        <w:rPr>
          <w:rFonts w:cs="Arial"/>
          <w:b/>
          <w:sz w:val="24"/>
          <w:szCs w:val="24"/>
        </w:rPr>
        <w:t>David Duffy</w:t>
      </w:r>
      <w:r w:rsidR="00E73014" w:rsidRPr="00997775">
        <w:rPr>
          <w:rFonts w:cs="Arial"/>
          <w:b/>
          <w:sz w:val="24"/>
          <w:szCs w:val="24"/>
        </w:rPr>
        <w:t xml:space="preserve"> (Education/Research Officer, TUI)</w:t>
      </w:r>
      <w:r w:rsidR="00F20C60" w:rsidRPr="00997775">
        <w:rPr>
          <w:rFonts w:cs="Arial"/>
          <w:b/>
          <w:sz w:val="24"/>
          <w:szCs w:val="24"/>
        </w:rPr>
        <w:t>,</w:t>
      </w:r>
      <w:r w:rsidRPr="00997775">
        <w:rPr>
          <w:rFonts w:cs="Arial"/>
          <w:b/>
          <w:sz w:val="24"/>
          <w:szCs w:val="24"/>
        </w:rPr>
        <w:t xml:space="preserve"> </w:t>
      </w:r>
      <w:hyperlink r:id="rId8" w:history="1">
        <w:r w:rsidRPr="00997775">
          <w:rPr>
            <w:rStyle w:val="Hyperlink"/>
            <w:rFonts w:cs="Arial"/>
            <w:b/>
            <w:i/>
            <w:color w:val="auto"/>
            <w:sz w:val="24"/>
            <w:szCs w:val="24"/>
            <w:u w:val="none"/>
          </w:rPr>
          <w:t>dduffy@tui.ie</w:t>
        </w:r>
      </w:hyperlink>
      <w:r w:rsidRPr="00997775">
        <w:rPr>
          <w:rFonts w:cs="Arial"/>
          <w:b/>
          <w:sz w:val="24"/>
          <w:szCs w:val="24"/>
        </w:rPr>
        <w:t>, 01 4922588</w:t>
      </w:r>
    </w:p>
    <w:p w:rsidR="00C83C29" w:rsidRPr="00997775" w:rsidRDefault="00C83C29" w:rsidP="00997775">
      <w:pPr>
        <w:spacing w:line="360" w:lineRule="auto"/>
        <w:jc w:val="both"/>
        <w:rPr>
          <w:rFonts w:cs="Arial"/>
          <w:b/>
          <w:sz w:val="24"/>
          <w:szCs w:val="24"/>
        </w:rPr>
      </w:pPr>
    </w:p>
    <w:p w:rsidR="00316E6E" w:rsidRDefault="00316E6E" w:rsidP="00997775">
      <w:pPr>
        <w:spacing w:line="360" w:lineRule="auto"/>
        <w:jc w:val="both"/>
        <w:rPr>
          <w:rFonts w:cs="Arial"/>
          <w:sz w:val="24"/>
          <w:szCs w:val="24"/>
          <w:u w:val="single"/>
        </w:rPr>
      </w:pPr>
    </w:p>
    <w:p w:rsidR="00BE7055" w:rsidRDefault="00BE7055">
      <w:pPr>
        <w:rPr>
          <w:rFonts w:cs="Arial"/>
          <w:sz w:val="24"/>
          <w:szCs w:val="24"/>
          <w:u w:val="single"/>
        </w:rPr>
      </w:pPr>
      <w:r>
        <w:rPr>
          <w:rFonts w:cs="Arial"/>
          <w:sz w:val="24"/>
          <w:szCs w:val="24"/>
          <w:u w:val="single"/>
        </w:rPr>
        <w:br w:type="page"/>
      </w:r>
    </w:p>
    <w:p w:rsidR="00C83C29" w:rsidRPr="00997775" w:rsidRDefault="00C83C29" w:rsidP="00997775">
      <w:pPr>
        <w:spacing w:line="360" w:lineRule="auto"/>
        <w:jc w:val="both"/>
        <w:rPr>
          <w:rFonts w:cs="Arial"/>
          <w:sz w:val="24"/>
          <w:szCs w:val="24"/>
          <w:u w:val="single"/>
        </w:rPr>
      </w:pPr>
      <w:r w:rsidRPr="00997775">
        <w:rPr>
          <w:rFonts w:cs="Arial"/>
          <w:sz w:val="24"/>
          <w:szCs w:val="24"/>
          <w:u w:val="single"/>
        </w:rPr>
        <w:t>Acronyms</w:t>
      </w:r>
    </w:p>
    <w:p w:rsidR="00805E28" w:rsidRPr="00997775" w:rsidRDefault="00805E28" w:rsidP="00997775">
      <w:pPr>
        <w:spacing w:line="360" w:lineRule="auto"/>
        <w:jc w:val="both"/>
        <w:rPr>
          <w:rFonts w:cs="Arial"/>
          <w:sz w:val="24"/>
          <w:szCs w:val="24"/>
        </w:rPr>
      </w:pPr>
      <w:r w:rsidRPr="00997775">
        <w:rPr>
          <w:rFonts w:cs="Arial"/>
          <w:sz w:val="24"/>
          <w:szCs w:val="24"/>
        </w:rPr>
        <w:t>CPD</w:t>
      </w:r>
      <w:r w:rsidRPr="00997775">
        <w:rPr>
          <w:rFonts w:cs="Arial"/>
          <w:sz w:val="24"/>
          <w:szCs w:val="24"/>
        </w:rPr>
        <w:tab/>
      </w:r>
      <w:r w:rsidRPr="00997775">
        <w:rPr>
          <w:rFonts w:cs="Arial"/>
          <w:sz w:val="24"/>
          <w:szCs w:val="24"/>
        </w:rPr>
        <w:tab/>
        <w:t>Continuing Professional Development</w:t>
      </w:r>
    </w:p>
    <w:p w:rsidR="009C1801" w:rsidRPr="00997775" w:rsidRDefault="009C1801" w:rsidP="00997775">
      <w:pPr>
        <w:spacing w:line="360" w:lineRule="auto"/>
        <w:jc w:val="both"/>
        <w:rPr>
          <w:rFonts w:cs="Arial"/>
          <w:sz w:val="24"/>
          <w:szCs w:val="24"/>
        </w:rPr>
      </w:pPr>
      <w:r w:rsidRPr="00997775">
        <w:rPr>
          <w:rFonts w:cs="Arial"/>
          <w:sz w:val="24"/>
          <w:szCs w:val="24"/>
        </w:rPr>
        <w:t>CEO</w:t>
      </w:r>
      <w:r w:rsidRPr="00997775">
        <w:rPr>
          <w:rFonts w:cs="Arial"/>
          <w:sz w:val="24"/>
          <w:szCs w:val="24"/>
        </w:rPr>
        <w:tab/>
      </w:r>
      <w:r w:rsidRPr="00997775">
        <w:rPr>
          <w:rFonts w:cs="Arial"/>
          <w:sz w:val="24"/>
          <w:szCs w:val="24"/>
        </w:rPr>
        <w:tab/>
        <w:t>Chief Executive Officer</w:t>
      </w:r>
    </w:p>
    <w:p w:rsidR="00C83C29" w:rsidRPr="00997775" w:rsidRDefault="00C83C29" w:rsidP="00997775">
      <w:pPr>
        <w:spacing w:line="360" w:lineRule="auto"/>
        <w:jc w:val="both"/>
        <w:rPr>
          <w:rFonts w:cs="Arial"/>
          <w:sz w:val="24"/>
          <w:szCs w:val="24"/>
        </w:rPr>
      </w:pPr>
      <w:r w:rsidRPr="00997775">
        <w:rPr>
          <w:rFonts w:cs="Arial"/>
          <w:sz w:val="24"/>
          <w:szCs w:val="24"/>
        </w:rPr>
        <w:t>DES</w:t>
      </w:r>
      <w:r w:rsidRPr="00997775">
        <w:rPr>
          <w:rFonts w:cs="Arial"/>
          <w:sz w:val="24"/>
          <w:szCs w:val="24"/>
        </w:rPr>
        <w:tab/>
      </w:r>
      <w:r w:rsidR="00BF7EF9" w:rsidRPr="00997775">
        <w:rPr>
          <w:rFonts w:cs="Arial"/>
          <w:sz w:val="24"/>
          <w:szCs w:val="24"/>
        </w:rPr>
        <w:tab/>
      </w:r>
      <w:r w:rsidRPr="00997775">
        <w:rPr>
          <w:rFonts w:cs="Arial"/>
          <w:sz w:val="24"/>
          <w:szCs w:val="24"/>
        </w:rPr>
        <w:t>Department of Education and Skills</w:t>
      </w:r>
    </w:p>
    <w:p w:rsidR="00BA4498" w:rsidRPr="00997775" w:rsidRDefault="00BA4498" w:rsidP="00997775">
      <w:pPr>
        <w:spacing w:line="360" w:lineRule="auto"/>
        <w:jc w:val="both"/>
        <w:rPr>
          <w:rFonts w:cs="Arial"/>
          <w:sz w:val="24"/>
          <w:szCs w:val="24"/>
        </w:rPr>
      </w:pPr>
      <w:r w:rsidRPr="00997775">
        <w:rPr>
          <w:rFonts w:cs="Arial"/>
          <w:sz w:val="24"/>
          <w:szCs w:val="24"/>
        </w:rPr>
        <w:t>DEIS</w:t>
      </w:r>
      <w:r w:rsidRPr="00997775">
        <w:rPr>
          <w:rFonts w:cs="Arial"/>
          <w:sz w:val="24"/>
          <w:szCs w:val="24"/>
        </w:rPr>
        <w:tab/>
      </w:r>
      <w:r w:rsidR="00BF7EF9" w:rsidRPr="00997775">
        <w:rPr>
          <w:rFonts w:cs="Arial"/>
          <w:sz w:val="24"/>
          <w:szCs w:val="24"/>
        </w:rPr>
        <w:tab/>
      </w:r>
      <w:r w:rsidRPr="00997775">
        <w:rPr>
          <w:rFonts w:cs="Arial"/>
          <w:sz w:val="24"/>
          <w:szCs w:val="24"/>
        </w:rPr>
        <w:t>Delivering Equality of Opportunity in Schools</w:t>
      </w:r>
    </w:p>
    <w:p w:rsidR="00474B52" w:rsidRPr="00997775" w:rsidRDefault="00474B52" w:rsidP="00997775">
      <w:pPr>
        <w:spacing w:line="360" w:lineRule="auto"/>
        <w:jc w:val="both"/>
        <w:rPr>
          <w:rFonts w:cs="Arial"/>
          <w:sz w:val="24"/>
          <w:szCs w:val="24"/>
        </w:rPr>
      </w:pPr>
      <w:r w:rsidRPr="00997775">
        <w:rPr>
          <w:rFonts w:cs="Arial"/>
          <w:sz w:val="24"/>
          <w:szCs w:val="24"/>
        </w:rPr>
        <w:t>EPSEN</w:t>
      </w:r>
      <w:r w:rsidRPr="00997775">
        <w:rPr>
          <w:rFonts w:cs="Arial"/>
          <w:sz w:val="24"/>
          <w:szCs w:val="24"/>
        </w:rPr>
        <w:tab/>
      </w:r>
      <w:r w:rsidR="00BF7EF9" w:rsidRPr="00997775">
        <w:rPr>
          <w:rFonts w:cs="Arial"/>
          <w:sz w:val="24"/>
          <w:szCs w:val="24"/>
        </w:rPr>
        <w:tab/>
      </w:r>
      <w:r w:rsidRPr="00997775">
        <w:rPr>
          <w:rFonts w:cs="Arial"/>
          <w:sz w:val="24"/>
          <w:szCs w:val="24"/>
        </w:rPr>
        <w:t>Educational Provision for Students with Special Educational Needs</w:t>
      </w:r>
    </w:p>
    <w:p w:rsidR="00C43B39" w:rsidRPr="00997775" w:rsidRDefault="00C43B39" w:rsidP="00997775">
      <w:pPr>
        <w:spacing w:line="360" w:lineRule="auto"/>
        <w:jc w:val="both"/>
        <w:rPr>
          <w:rFonts w:cs="Arial"/>
          <w:sz w:val="24"/>
          <w:szCs w:val="24"/>
        </w:rPr>
      </w:pPr>
      <w:r w:rsidRPr="00997775">
        <w:rPr>
          <w:rFonts w:cs="Arial"/>
          <w:sz w:val="24"/>
          <w:szCs w:val="24"/>
        </w:rPr>
        <w:t>ETB</w:t>
      </w:r>
      <w:r w:rsidRPr="00997775">
        <w:rPr>
          <w:rFonts w:cs="Arial"/>
          <w:sz w:val="24"/>
          <w:szCs w:val="24"/>
        </w:rPr>
        <w:tab/>
      </w:r>
      <w:r w:rsidR="00BF7EF9" w:rsidRPr="00997775">
        <w:rPr>
          <w:rFonts w:cs="Arial"/>
          <w:sz w:val="24"/>
          <w:szCs w:val="24"/>
        </w:rPr>
        <w:tab/>
      </w:r>
      <w:r w:rsidRPr="00997775">
        <w:rPr>
          <w:rFonts w:cs="Arial"/>
          <w:sz w:val="24"/>
          <w:szCs w:val="24"/>
        </w:rPr>
        <w:t>Education and Training Board</w:t>
      </w:r>
    </w:p>
    <w:p w:rsidR="00BA4498" w:rsidRPr="00997775" w:rsidRDefault="00BA4498" w:rsidP="00997775">
      <w:pPr>
        <w:spacing w:line="360" w:lineRule="auto"/>
        <w:jc w:val="both"/>
        <w:rPr>
          <w:rFonts w:cs="Arial"/>
          <w:sz w:val="24"/>
          <w:szCs w:val="24"/>
        </w:rPr>
      </w:pPr>
      <w:r w:rsidRPr="00997775">
        <w:rPr>
          <w:rFonts w:cs="Arial"/>
          <w:sz w:val="24"/>
          <w:szCs w:val="24"/>
        </w:rPr>
        <w:t>FET</w:t>
      </w:r>
      <w:r w:rsidRPr="00997775">
        <w:rPr>
          <w:rFonts w:cs="Arial"/>
          <w:sz w:val="24"/>
          <w:szCs w:val="24"/>
        </w:rPr>
        <w:tab/>
      </w:r>
      <w:r w:rsidR="00BF7EF9" w:rsidRPr="00997775">
        <w:rPr>
          <w:rFonts w:cs="Arial"/>
          <w:sz w:val="24"/>
          <w:szCs w:val="24"/>
        </w:rPr>
        <w:tab/>
      </w:r>
      <w:r w:rsidRPr="00997775">
        <w:rPr>
          <w:rFonts w:cs="Arial"/>
          <w:sz w:val="24"/>
          <w:szCs w:val="24"/>
        </w:rPr>
        <w:t>Further Education and Training</w:t>
      </w:r>
    </w:p>
    <w:p w:rsidR="009C1801" w:rsidRPr="00997775" w:rsidRDefault="009C1801" w:rsidP="00997775">
      <w:pPr>
        <w:spacing w:line="360" w:lineRule="auto"/>
        <w:jc w:val="both"/>
        <w:rPr>
          <w:rFonts w:cs="Arial"/>
          <w:sz w:val="24"/>
          <w:szCs w:val="24"/>
        </w:rPr>
      </w:pPr>
      <w:r w:rsidRPr="00997775">
        <w:rPr>
          <w:rFonts w:cs="Arial"/>
          <w:sz w:val="24"/>
          <w:szCs w:val="24"/>
        </w:rPr>
        <w:t>HEA</w:t>
      </w:r>
      <w:r w:rsidRPr="00997775">
        <w:rPr>
          <w:rFonts w:cs="Arial"/>
          <w:sz w:val="24"/>
          <w:szCs w:val="24"/>
        </w:rPr>
        <w:tab/>
      </w:r>
      <w:r w:rsidRPr="00997775">
        <w:rPr>
          <w:rFonts w:cs="Arial"/>
          <w:sz w:val="24"/>
          <w:szCs w:val="24"/>
        </w:rPr>
        <w:tab/>
        <w:t>Higher Education Authority</w:t>
      </w:r>
    </w:p>
    <w:p w:rsidR="00BA4498" w:rsidRPr="00997775" w:rsidRDefault="00BA4498" w:rsidP="00997775">
      <w:pPr>
        <w:spacing w:line="360" w:lineRule="auto"/>
        <w:jc w:val="both"/>
        <w:rPr>
          <w:rFonts w:cs="Arial"/>
          <w:sz w:val="24"/>
          <w:szCs w:val="24"/>
        </w:rPr>
      </w:pPr>
      <w:r w:rsidRPr="00997775">
        <w:rPr>
          <w:rFonts w:cs="Arial"/>
          <w:sz w:val="24"/>
          <w:szCs w:val="24"/>
        </w:rPr>
        <w:t>HSCL</w:t>
      </w:r>
      <w:r w:rsidRPr="00997775">
        <w:rPr>
          <w:rFonts w:cs="Arial"/>
          <w:sz w:val="24"/>
          <w:szCs w:val="24"/>
        </w:rPr>
        <w:tab/>
      </w:r>
      <w:r w:rsidR="00BF7EF9" w:rsidRPr="00997775">
        <w:rPr>
          <w:rFonts w:cs="Arial"/>
          <w:sz w:val="24"/>
          <w:szCs w:val="24"/>
        </w:rPr>
        <w:tab/>
      </w:r>
      <w:r w:rsidRPr="00997775">
        <w:rPr>
          <w:rFonts w:cs="Arial"/>
          <w:sz w:val="24"/>
          <w:szCs w:val="24"/>
        </w:rPr>
        <w:t>Home School Community Liaison</w:t>
      </w:r>
    </w:p>
    <w:p w:rsidR="00C43B39" w:rsidRPr="00997775" w:rsidRDefault="00C43B39" w:rsidP="00997775">
      <w:pPr>
        <w:spacing w:line="360" w:lineRule="auto"/>
        <w:jc w:val="both"/>
        <w:rPr>
          <w:rFonts w:cs="Arial"/>
          <w:sz w:val="24"/>
          <w:szCs w:val="24"/>
        </w:rPr>
      </w:pPr>
      <w:r w:rsidRPr="00997775">
        <w:rPr>
          <w:rFonts w:cs="Arial"/>
          <w:sz w:val="24"/>
          <w:szCs w:val="24"/>
        </w:rPr>
        <w:t>IoT</w:t>
      </w:r>
      <w:r w:rsidRPr="00997775">
        <w:rPr>
          <w:rFonts w:cs="Arial"/>
          <w:sz w:val="24"/>
          <w:szCs w:val="24"/>
        </w:rPr>
        <w:tab/>
      </w:r>
      <w:r w:rsidR="00BF7EF9" w:rsidRPr="00997775">
        <w:rPr>
          <w:rFonts w:cs="Arial"/>
          <w:sz w:val="24"/>
          <w:szCs w:val="24"/>
        </w:rPr>
        <w:tab/>
      </w:r>
      <w:r w:rsidRPr="00997775">
        <w:rPr>
          <w:rFonts w:cs="Arial"/>
          <w:sz w:val="24"/>
          <w:szCs w:val="24"/>
        </w:rPr>
        <w:t>Institute of Technology</w:t>
      </w:r>
    </w:p>
    <w:p w:rsidR="00762B2C" w:rsidRPr="00997775" w:rsidRDefault="00762B2C" w:rsidP="00997775">
      <w:pPr>
        <w:spacing w:line="360" w:lineRule="auto"/>
        <w:jc w:val="both"/>
        <w:rPr>
          <w:rFonts w:cs="Arial"/>
          <w:sz w:val="24"/>
          <w:szCs w:val="24"/>
        </w:rPr>
      </w:pPr>
      <w:r w:rsidRPr="00997775">
        <w:rPr>
          <w:rFonts w:cs="Arial"/>
          <w:sz w:val="24"/>
          <w:szCs w:val="24"/>
        </w:rPr>
        <w:t>LCA</w:t>
      </w:r>
      <w:r w:rsidRPr="00997775">
        <w:rPr>
          <w:rFonts w:cs="Arial"/>
          <w:sz w:val="24"/>
          <w:szCs w:val="24"/>
        </w:rPr>
        <w:tab/>
      </w:r>
      <w:r w:rsidR="00BF7EF9" w:rsidRPr="00997775">
        <w:rPr>
          <w:rFonts w:cs="Arial"/>
          <w:sz w:val="24"/>
          <w:szCs w:val="24"/>
        </w:rPr>
        <w:tab/>
      </w:r>
      <w:r w:rsidRPr="00997775">
        <w:rPr>
          <w:rFonts w:cs="Arial"/>
          <w:sz w:val="24"/>
          <w:szCs w:val="24"/>
        </w:rPr>
        <w:t>Leaving Certificate Applied</w:t>
      </w:r>
    </w:p>
    <w:p w:rsidR="00762B2C" w:rsidRPr="00997775" w:rsidRDefault="00762B2C" w:rsidP="00997775">
      <w:pPr>
        <w:spacing w:line="360" w:lineRule="auto"/>
        <w:jc w:val="both"/>
        <w:rPr>
          <w:rFonts w:cs="Arial"/>
          <w:sz w:val="24"/>
          <w:szCs w:val="24"/>
        </w:rPr>
      </w:pPr>
      <w:r w:rsidRPr="00997775">
        <w:rPr>
          <w:rFonts w:cs="Arial"/>
          <w:sz w:val="24"/>
          <w:szCs w:val="24"/>
        </w:rPr>
        <w:t>LCVP</w:t>
      </w:r>
      <w:r w:rsidRPr="00997775">
        <w:rPr>
          <w:rFonts w:cs="Arial"/>
          <w:sz w:val="24"/>
          <w:szCs w:val="24"/>
        </w:rPr>
        <w:tab/>
      </w:r>
      <w:r w:rsidR="00BF7EF9" w:rsidRPr="00997775">
        <w:rPr>
          <w:rFonts w:cs="Arial"/>
          <w:sz w:val="24"/>
          <w:szCs w:val="24"/>
        </w:rPr>
        <w:tab/>
      </w:r>
      <w:r w:rsidRPr="00997775">
        <w:rPr>
          <w:rFonts w:cs="Arial"/>
          <w:sz w:val="24"/>
          <w:szCs w:val="24"/>
        </w:rPr>
        <w:t>Leaving Certificate Vocational Programme</w:t>
      </w:r>
    </w:p>
    <w:p w:rsidR="00BA4498" w:rsidRPr="00997775" w:rsidRDefault="00BA4498" w:rsidP="00997775">
      <w:pPr>
        <w:spacing w:line="360" w:lineRule="auto"/>
        <w:jc w:val="both"/>
        <w:rPr>
          <w:rFonts w:cs="Arial"/>
          <w:sz w:val="24"/>
          <w:szCs w:val="24"/>
        </w:rPr>
      </w:pPr>
      <w:r w:rsidRPr="00997775">
        <w:rPr>
          <w:rFonts w:cs="Arial"/>
          <w:sz w:val="24"/>
          <w:szCs w:val="24"/>
        </w:rPr>
        <w:t>SCP</w:t>
      </w:r>
      <w:r w:rsidRPr="00997775">
        <w:rPr>
          <w:rFonts w:cs="Arial"/>
          <w:sz w:val="24"/>
          <w:szCs w:val="24"/>
        </w:rPr>
        <w:tab/>
      </w:r>
      <w:r w:rsidR="00BF7EF9" w:rsidRPr="00997775">
        <w:rPr>
          <w:rFonts w:cs="Arial"/>
          <w:sz w:val="24"/>
          <w:szCs w:val="24"/>
        </w:rPr>
        <w:tab/>
      </w:r>
      <w:r w:rsidRPr="00997775">
        <w:rPr>
          <w:rFonts w:cs="Arial"/>
          <w:sz w:val="24"/>
          <w:szCs w:val="24"/>
        </w:rPr>
        <w:t xml:space="preserve">School Completion Programme </w:t>
      </w:r>
    </w:p>
    <w:p w:rsidR="009C1801" w:rsidRPr="00997775" w:rsidRDefault="009C1801" w:rsidP="00997775">
      <w:pPr>
        <w:spacing w:line="360" w:lineRule="auto"/>
        <w:jc w:val="both"/>
        <w:rPr>
          <w:rFonts w:cs="Arial"/>
          <w:sz w:val="24"/>
          <w:szCs w:val="24"/>
        </w:rPr>
      </w:pPr>
      <w:r w:rsidRPr="00997775">
        <w:rPr>
          <w:rFonts w:cs="Arial"/>
          <w:sz w:val="24"/>
          <w:szCs w:val="24"/>
        </w:rPr>
        <w:t>TU</w:t>
      </w:r>
      <w:r w:rsidRPr="00997775">
        <w:rPr>
          <w:rFonts w:cs="Arial"/>
          <w:sz w:val="24"/>
          <w:szCs w:val="24"/>
        </w:rPr>
        <w:tab/>
      </w:r>
      <w:r w:rsidRPr="00997775">
        <w:rPr>
          <w:rFonts w:cs="Arial"/>
          <w:sz w:val="24"/>
          <w:szCs w:val="24"/>
        </w:rPr>
        <w:tab/>
        <w:t>Technological University</w:t>
      </w:r>
    </w:p>
    <w:p w:rsidR="00BA4498" w:rsidRPr="00997775" w:rsidRDefault="00BA4498" w:rsidP="00997775">
      <w:pPr>
        <w:spacing w:line="360" w:lineRule="auto"/>
        <w:jc w:val="both"/>
        <w:rPr>
          <w:rFonts w:cs="Arial"/>
          <w:sz w:val="24"/>
          <w:szCs w:val="24"/>
        </w:rPr>
      </w:pPr>
      <w:r w:rsidRPr="00997775">
        <w:rPr>
          <w:rFonts w:cs="Arial"/>
          <w:sz w:val="24"/>
          <w:szCs w:val="24"/>
        </w:rPr>
        <w:t>TUI</w:t>
      </w:r>
      <w:r w:rsidRPr="00997775">
        <w:rPr>
          <w:rFonts w:cs="Arial"/>
          <w:sz w:val="24"/>
          <w:szCs w:val="24"/>
        </w:rPr>
        <w:tab/>
      </w:r>
      <w:r w:rsidR="00BF7EF9" w:rsidRPr="00997775">
        <w:rPr>
          <w:rFonts w:cs="Arial"/>
          <w:sz w:val="24"/>
          <w:szCs w:val="24"/>
        </w:rPr>
        <w:tab/>
      </w:r>
      <w:r w:rsidRPr="00997775">
        <w:rPr>
          <w:rFonts w:cs="Arial"/>
          <w:sz w:val="24"/>
          <w:szCs w:val="24"/>
        </w:rPr>
        <w:t xml:space="preserve">Teachers’ Union of Ireland </w:t>
      </w:r>
    </w:p>
    <w:p w:rsidR="00762B2C" w:rsidRPr="00997775" w:rsidRDefault="00762B2C" w:rsidP="00997775">
      <w:pPr>
        <w:spacing w:line="360" w:lineRule="auto"/>
        <w:jc w:val="both"/>
        <w:rPr>
          <w:rFonts w:cs="Arial"/>
          <w:sz w:val="24"/>
          <w:szCs w:val="24"/>
        </w:rPr>
      </w:pPr>
      <w:r w:rsidRPr="00997775">
        <w:rPr>
          <w:rFonts w:cs="Arial"/>
          <w:sz w:val="24"/>
          <w:szCs w:val="24"/>
        </w:rPr>
        <w:t>TY</w:t>
      </w:r>
      <w:r w:rsidRPr="00997775">
        <w:rPr>
          <w:rFonts w:cs="Arial"/>
          <w:sz w:val="24"/>
          <w:szCs w:val="24"/>
        </w:rPr>
        <w:tab/>
      </w:r>
      <w:r w:rsidR="00BF7EF9" w:rsidRPr="00997775">
        <w:rPr>
          <w:rFonts w:cs="Arial"/>
          <w:sz w:val="24"/>
          <w:szCs w:val="24"/>
        </w:rPr>
        <w:tab/>
      </w:r>
      <w:r w:rsidRPr="00997775">
        <w:rPr>
          <w:rFonts w:cs="Arial"/>
          <w:sz w:val="24"/>
          <w:szCs w:val="24"/>
        </w:rPr>
        <w:t>Transition Year</w:t>
      </w:r>
    </w:p>
    <w:p w:rsidR="006127FB" w:rsidRPr="00997775" w:rsidRDefault="006127FB" w:rsidP="00997775">
      <w:pPr>
        <w:spacing w:line="360" w:lineRule="auto"/>
        <w:jc w:val="both"/>
        <w:rPr>
          <w:rFonts w:cs="Arial"/>
          <w:sz w:val="24"/>
          <w:szCs w:val="24"/>
        </w:rPr>
      </w:pPr>
      <w:r w:rsidRPr="00997775">
        <w:rPr>
          <w:rFonts w:cs="Arial"/>
          <w:sz w:val="24"/>
          <w:szCs w:val="24"/>
        </w:rPr>
        <w:t>UK</w:t>
      </w:r>
      <w:r w:rsidRPr="00997775">
        <w:rPr>
          <w:rFonts w:cs="Arial"/>
          <w:sz w:val="24"/>
          <w:szCs w:val="24"/>
        </w:rPr>
        <w:tab/>
      </w:r>
      <w:r w:rsidRPr="00997775">
        <w:rPr>
          <w:rFonts w:cs="Arial"/>
          <w:sz w:val="24"/>
          <w:szCs w:val="24"/>
        </w:rPr>
        <w:tab/>
        <w:t>United Kingdom</w:t>
      </w:r>
    </w:p>
    <w:p w:rsidR="00BA4498" w:rsidRPr="00997775" w:rsidRDefault="00BA4498" w:rsidP="00997775">
      <w:pPr>
        <w:spacing w:line="360" w:lineRule="auto"/>
        <w:jc w:val="both"/>
        <w:rPr>
          <w:rFonts w:cs="Arial"/>
          <w:sz w:val="24"/>
          <w:szCs w:val="24"/>
        </w:rPr>
      </w:pPr>
    </w:p>
    <w:p w:rsidR="00542334" w:rsidRPr="00997775" w:rsidRDefault="00542334" w:rsidP="00997775">
      <w:pPr>
        <w:spacing w:line="360" w:lineRule="auto"/>
        <w:jc w:val="both"/>
        <w:rPr>
          <w:rFonts w:cs="Arial"/>
          <w:sz w:val="24"/>
          <w:szCs w:val="24"/>
          <w:u w:val="single"/>
        </w:rPr>
      </w:pPr>
      <w:r w:rsidRPr="00997775">
        <w:rPr>
          <w:rFonts w:cs="Arial"/>
          <w:sz w:val="24"/>
          <w:szCs w:val="24"/>
          <w:u w:val="single"/>
        </w:rPr>
        <w:br w:type="page"/>
      </w:r>
    </w:p>
    <w:p w:rsidR="00790549" w:rsidRPr="00997775" w:rsidRDefault="00790549" w:rsidP="00997775">
      <w:pPr>
        <w:spacing w:line="360" w:lineRule="auto"/>
        <w:jc w:val="both"/>
        <w:rPr>
          <w:rFonts w:cs="Arial"/>
          <w:sz w:val="24"/>
          <w:szCs w:val="24"/>
          <w:u w:val="single"/>
        </w:rPr>
      </w:pPr>
      <w:r w:rsidRPr="00997775">
        <w:rPr>
          <w:rFonts w:cs="Arial"/>
          <w:sz w:val="24"/>
          <w:szCs w:val="24"/>
          <w:u w:val="single"/>
        </w:rPr>
        <w:t>References</w:t>
      </w:r>
    </w:p>
    <w:p w:rsidR="00474B52" w:rsidRPr="00997775" w:rsidRDefault="00474B52" w:rsidP="00997775">
      <w:pPr>
        <w:spacing w:after="200" w:line="360" w:lineRule="auto"/>
        <w:jc w:val="both"/>
        <w:rPr>
          <w:rFonts w:cs="Arial"/>
          <w:sz w:val="24"/>
          <w:szCs w:val="24"/>
        </w:rPr>
      </w:pPr>
      <w:r w:rsidRPr="00997775">
        <w:rPr>
          <w:rFonts w:cs="Arial"/>
          <w:sz w:val="24"/>
          <w:szCs w:val="24"/>
        </w:rPr>
        <w:t xml:space="preserve">Barnardos (2008), </w:t>
      </w:r>
      <w:r w:rsidRPr="00997775">
        <w:rPr>
          <w:rFonts w:cs="Arial"/>
          <w:i/>
          <w:sz w:val="24"/>
          <w:szCs w:val="24"/>
        </w:rPr>
        <w:t>Tomorrow’s Child</w:t>
      </w:r>
      <w:r w:rsidRPr="00997775">
        <w:rPr>
          <w:rFonts w:cs="Arial"/>
          <w:sz w:val="24"/>
          <w:szCs w:val="24"/>
        </w:rPr>
        <w:t>, Dublin: Barnardos</w:t>
      </w:r>
    </w:p>
    <w:p w:rsidR="00A75F53" w:rsidRPr="00997775" w:rsidRDefault="00A75F53" w:rsidP="00997775">
      <w:pPr>
        <w:autoSpaceDE w:val="0"/>
        <w:autoSpaceDN w:val="0"/>
        <w:adjustRightInd w:val="0"/>
        <w:spacing w:after="0" w:line="360" w:lineRule="auto"/>
        <w:jc w:val="both"/>
        <w:rPr>
          <w:rFonts w:cs="Arial"/>
          <w:color w:val="000000"/>
          <w:sz w:val="24"/>
          <w:szCs w:val="24"/>
        </w:rPr>
      </w:pPr>
      <w:r w:rsidRPr="00997775">
        <w:rPr>
          <w:rFonts w:cs="Arial"/>
          <w:color w:val="000000"/>
          <w:sz w:val="24"/>
          <w:szCs w:val="24"/>
        </w:rPr>
        <w:t xml:space="preserve">Boyle (2017), </w:t>
      </w:r>
      <w:r w:rsidRPr="00997775">
        <w:rPr>
          <w:rFonts w:cs="Arial"/>
          <w:i/>
          <w:color w:val="000000"/>
          <w:sz w:val="24"/>
          <w:szCs w:val="24"/>
        </w:rPr>
        <w:t>Public Sector Trends 2017</w:t>
      </w:r>
      <w:r w:rsidRPr="00997775">
        <w:rPr>
          <w:rFonts w:cs="Arial"/>
          <w:color w:val="000000"/>
          <w:sz w:val="24"/>
          <w:szCs w:val="24"/>
        </w:rPr>
        <w:t>, Dublin: Institute of Public Administration</w:t>
      </w:r>
    </w:p>
    <w:p w:rsidR="00A75F53" w:rsidRPr="00997775" w:rsidRDefault="00A75F53" w:rsidP="00997775">
      <w:pPr>
        <w:autoSpaceDE w:val="0"/>
        <w:autoSpaceDN w:val="0"/>
        <w:adjustRightInd w:val="0"/>
        <w:spacing w:after="0" w:line="360" w:lineRule="auto"/>
        <w:jc w:val="both"/>
        <w:rPr>
          <w:rFonts w:cs="Arial"/>
          <w:color w:val="000000"/>
          <w:sz w:val="24"/>
          <w:szCs w:val="24"/>
        </w:rPr>
      </w:pPr>
      <w:r w:rsidRPr="00997775">
        <w:rPr>
          <w:rFonts w:cs="Arial"/>
          <w:color w:val="000000"/>
          <w:sz w:val="24"/>
          <w:szCs w:val="24"/>
        </w:rPr>
        <w:t xml:space="preserve">Boyle (2018), </w:t>
      </w:r>
      <w:r w:rsidRPr="00997775">
        <w:rPr>
          <w:rFonts w:cs="Arial"/>
          <w:i/>
          <w:color w:val="000000"/>
          <w:sz w:val="24"/>
          <w:szCs w:val="24"/>
        </w:rPr>
        <w:t>Public Sector Trends 2018</w:t>
      </w:r>
      <w:r w:rsidRPr="00997775">
        <w:rPr>
          <w:rFonts w:cs="Arial"/>
          <w:color w:val="000000"/>
          <w:sz w:val="24"/>
          <w:szCs w:val="24"/>
        </w:rPr>
        <w:t>, Dublin: Institute of Public Administration</w:t>
      </w:r>
    </w:p>
    <w:p w:rsidR="00113177" w:rsidRPr="00997775" w:rsidRDefault="00113177" w:rsidP="00997775">
      <w:pPr>
        <w:spacing w:line="360" w:lineRule="auto"/>
        <w:jc w:val="both"/>
        <w:rPr>
          <w:rFonts w:cs="Arial"/>
          <w:sz w:val="24"/>
          <w:szCs w:val="24"/>
        </w:rPr>
      </w:pPr>
      <w:r w:rsidRPr="00997775">
        <w:rPr>
          <w:rFonts w:cs="Arial"/>
          <w:sz w:val="24"/>
          <w:szCs w:val="24"/>
        </w:rPr>
        <w:t xml:space="preserve">Central Bank (2018), </w:t>
      </w:r>
      <w:r w:rsidRPr="00997775">
        <w:rPr>
          <w:rFonts w:cs="Arial"/>
          <w:i/>
          <w:sz w:val="24"/>
          <w:szCs w:val="24"/>
        </w:rPr>
        <w:t>Macro-Financial Review</w:t>
      </w:r>
      <w:r w:rsidRPr="00997775">
        <w:rPr>
          <w:rFonts w:cs="Arial"/>
          <w:sz w:val="24"/>
          <w:szCs w:val="24"/>
        </w:rPr>
        <w:t xml:space="preserve">, Dublin: Central Bank of Ireland </w:t>
      </w:r>
    </w:p>
    <w:p w:rsidR="00762B2C" w:rsidRPr="00997775" w:rsidRDefault="00762B2C" w:rsidP="00997775">
      <w:pPr>
        <w:spacing w:line="360" w:lineRule="auto"/>
        <w:jc w:val="both"/>
        <w:rPr>
          <w:rFonts w:cs="Arial"/>
          <w:sz w:val="24"/>
          <w:szCs w:val="24"/>
        </w:rPr>
      </w:pPr>
      <w:r w:rsidRPr="00997775">
        <w:rPr>
          <w:rFonts w:cs="Arial"/>
          <w:sz w:val="24"/>
          <w:szCs w:val="24"/>
        </w:rPr>
        <w:t xml:space="preserve">Children’s Rights Alliance (2015), </w:t>
      </w:r>
      <w:r w:rsidRPr="00997775">
        <w:rPr>
          <w:rFonts w:cs="Arial"/>
          <w:i/>
          <w:sz w:val="24"/>
          <w:szCs w:val="24"/>
        </w:rPr>
        <w:t>Are We There Yet?  Parallel Report to Ireland’s Third and Fourth Combined Report under the UN Convention on the Rights of the Child</w:t>
      </w:r>
      <w:r w:rsidRPr="00997775">
        <w:rPr>
          <w:rFonts w:cs="Arial"/>
          <w:sz w:val="24"/>
          <w:szCs w:val="24"/>
        </w:rPr>
        <w:t>, Dublin: Children’s Rights Alliance</w:t>
      </w:r>
    </w:p>
    <w:p w:rsidR="00A75F53" w:rsidRPr="00997775" w:rsidRDefault="00A75F53" w:rsidP="00997775">
      <w:pPr>
        <w:spacing w:after="200" w:line="360" w:lineRule="auto"/>
        <w:jc w:val="both"/>
        <w:rPr>
          <w:rFonts w:cs="Arial"/>
          <w:sz w:val="24"/>
          <w:szCs w:val="24"/>
        </w:rPr>
      </w:pPr>
      <w:r w:rsidRPr="00997775">
        <w:rPr>
          <w:rFonts w:cs="Arial"/>
          <w:sz w:val="24"/>
          <w:szCs w:val="24"/>
        </w:rPr>
        <w:t xml:space="preserve">Comhairle na nOg (2017), </w:t>
      </w:r>
      <w:r w:rsidRPr="00997775">
        <w:rPr>
          <w:rFonts w:cs="Arial"/>
          <w:i/>
          <w:sz w:val="24"/>
          <w:szCs w:val="24"/>
        </w:rPr>
        <w:t>So, How Was School Today?</w:t>
      </w:r>
      <w:r w:rsidRPr="00997775">
        <w:rPr>
          <w:rFonts w:cs="Arial"/>
          <w:sz w:val="24"/>
          <w:szCs w:val="24"/>
        </w:rPr>
        <w:t xml:space="preserve"> Dublin: Department of Children and Youth Affairs </w:t>
      </w:r>
    </w:p>
    <w:p w:rsidR="00210A17" w:rsidRPr="00997775" w:rsidRDefault="00210A17" w:rsidP="00997775">
      <w:pPr>
        <w:spacing w:line="360" w:lineRule="auto"/>
        <w:jc w:val="both"/>
        <w:rPr>
          <w:rFonts w:cs="Arial"/>
          <w:sz w:val="24"/>
          <w:szCs w:val="24"/>
        </w:rPr>
      </w:pPr>
      <w:r w:rsidRPr="00997775">
        <w:rPr>
          <w:rFonts w:cs="Arial"/>
          <w:sz w:val="24"/>
          <w:szCs w:val="24"/>
        </w:rPr>
        <w:t xml:space="preserve">DES (2016), </w:t>
      </w:r>
      <w:r w:rsidRPr="00997775">
        <w:rPr>
          <w:rFonts w:cs="Arial"/>
          <w:i/>
          <w:sz w:val="24"/>
          <w:szCs w:val="24"/>
        </w:rPr>
        <w:t>Organisation and Current Issues</w:t>
      </w:r>
      <w:r w:rsidRPr="00997775">
        <w:rPr>
          <w:rFonts w:cs="Arial"/>
          <w:sz w:val="24"/>
          <w:szCs w:val="24"/>
        </w:rPr>
        <w:t>, Dublin: Department of Education and Skills</w:t>
      </w:r>
    </w:p>
    <w:p w:rsidR="00910760" w:rsidRPr="00997775" w:rsidRDefault="00910760" w:rsidP="00997775">
      <w:pPr>
        <w:spacing w:line="360" w:lineRule="auto"/>
        <w:jc w:val="both"/>
        <w:rPr>
          <w:rFonts w:cs="Arial"/>
          <w:sz w:val="24"/>
          <w:szCs w:val="24"/>
        </w:rPr>
      </w:pPr>
      <w:r w:rsidRPr="00997775">
        <w:rPr>
          <w:rFonts w:cs="Arial"/>
          <w:sz w:val="24"/>
          <w:szCs w:val="24"/>
        </w:rPr>
        <w:t xml:space="preserve">DES (2013), </w:t>
      </w:r>
      <w:r w:rsidRPr="00997775">
        <w:rPr>
          <w:rFonts w:cs="Arial"/>
          <w:i/>
          <w:sz w:val="24"/>
          <w:szCs w:val="24"/>
        </w:rPr>
        <w:t>Chief Inspector’s Report 2010-2012</w:t>
      </w:r>
      <w:r w:rsidRPr="00997775">
        <w:rPr>
          <w:rFonts w:cs="Arial"/>
          <w:sz w:val="24"/>
          <w:szCs w:val="24"/>
        </w:rPr>
        <w:t xml:space="preserve">, Dublin: Department of Education and Skills Inspectorate </w:t>
      </w:r>
    </w:p>
    <w:p w:rsidR="00A75F53" w:rsidRPr="00997775" w:rsidRDefault="00A75F53" w:rsidP="00997775">
      <w:pPr>
        <w:spacing w:line="360" w:lineRule="auto"/>
        <w:jc w:val="both"/>
        <w:rPr>
          <w:rFonts w:cs="Arial"/>
          <w:sz w:val="24"/>
          <w:szCs w:val="24"/>
        </w:rPr>
      </w:pPr>
      <w:r w:rsidRPr="00997775">
        <w:rPr>
          <w:sz w:val="24"/>
          <w:szCs w:val="24"/>
        </w:rPr>
        <w:t xml:space="preserve">DES (2018a), </w:t>
      </w:r>
      <w:r w:rsidRPr="00997775">
        <w:rPr>
          <w:i/>
          <w:sz w:val="24"/>
          <w:szCs w:val="24"/>
        </w:rPr>
        <w:t>Chief Inspector’s Report 2013-2016</w:t>
      </w:r>
      <w:r w:rsidRPr="00997775">
        <w:rPr>
          <w:sz w:val="24"/>
          <w:szCs w:val="24"/>
        </w:rPr>
        <w:t>, Dublin: Department of Education and Skills Inspectorate</w:t>
      </w:r>
      <w:r w:rsidRPr="00997775">
        <w:rPr>
          <w:rFonts w:cs="Arial"/>
          <w:sz w:val="24"/>
          <w:szCs w:val="24"/>
        </w:rPr>
        <w:t xml:space="preserve"> </w:t>
      </w:r>
    </w:p>
    <w:p w:rsidR="00A75F53" w:rsidRPr="00997775" w:rsidRDefault="00A75F53" w:rsidP="00997775">
      <w:pPr>
        <w:spacing w:line="360" w:lineRule="auto"/>
        <w:jc w:val="both"/>
        <w:rPr>
          <w:rFonts w:cs="Arial"/>
          <w:sz w:val="24"/>
          <w:szCs w:val="24"/>
        </w:rPr>
      </w:pPr>
      <w:r w:rsidRPr="00997775">
        <w:rPr>
          <w:sz w:val="24"/>
          <w:szCs w:val="24"/>
        </w:rPr>
        <w:t xml:space="preserve">DES (2018b), </w:t>
      </w:r>
      <w:r w:rsidRPr="00997775">
        <w:rPr>
          <w:i/>
          <w:sz w:val="24"/>
          <w:szCs w:val="24"/>
        </w:rPr>
        <w:t xml:space="preserve">Opening Statement to the Joint Oireachtas Committee on Education and Skills, </w:t>
      </w:r>
      <w:r w:rsidRPr="00997775">
        <w:rPr>
          <w:sz w:val="24"/>
          <w:szCs w:val="24"/>
        </w:rPr>
        <w:t>August 29</w:t>
      </w:r>
      <w:r w:rsidRPr="00997775">
        <w:rPr>
          <w:sz w:val="24"/>
          <w:szCs w:val="24"/>
          <w:vertAlign w:val="superscript"/>
        </w:rPr>
        <w:t>th</w:t>
      </w:r>
      <w:r w:rsidRPr="00997775">
        <w:rPr>
          <w:sz w:val="24"/>
          <w:szCs w:val="24"/>
        </w:rPr>
        <w:t xml:space="preserve"> 2018</w:t>
      </w:r>
      <w:r w:rsidRPr="00997775">
        <w:rPr>
          <w:rFonts w:cs="Arial"/>
          <w:sz w:val="24"/>
          <w:szCs w:val="24"/>
        </w:rPr>
        <w:t xml:space="preserve"> </w:t>
      </w:r>
    </w:p>
    <w:p w:rsidR="00113177" w:rsidRPr="00997775" w:rsidRDefault="00113177" w:rsidP="00997775">
      <w:pPr>
        <w:spacing w:line="360" w:lineRule="auto"/>
        <w:jc w:val="both"/>
        <w:rPr>
          <w:rFonts w:cs="Arial"/>
          <w:sz w:val="24"/>
          <w:szCs w:val="24"/>
        </w:rPr>
      </w:pPr>
      <w:r w:rsidRPr="00997775">
        <w:rPr>
          <w:rFonts w:cs="Arial"/>
          <w:sz w:val="24"/>
          <w:szCs w:val="24"/>
        </w:rPr>
        <w:t xml:space="preserve">ESRI (2018), </w:t>
      </w:r>
      <w:r w:rsidRPr="00997775">
        <w:rPr>
          <w:rFonts w:cs="Arial"/>
          <w:i/>
          <w:sz w:val="24"/>
          <w:szCs w:val="24"/>
        </w:rPr>
        <w:t>Quarterly Economic Commentary, Summer 2018</w:t>
      </w:r>
      <w:r w:rsidRPr="00997775">
        <w:rPr>
          <w:rFonts w:cs="Arial"/>
          <w:sz w:val="24"/>
          <w:szCs w:val="24"/>
        </w:rPr>
        <w:t>, Dublin: Economic and Social Research Institute</w:t>
      </w:r>
    </w:p>
    <w:p w:rsidR="00113177" w:rsidRPr="00997775" w:rsidRDefault="00113177" w:rsidP="00997775">
      <w:pPr>
        <w:autoSpaceDE w:val="0"/>
        <w:autoSpaceDN w:val="0"/>
        <w:adjustRightInd w:val="0"/>
        <w:spacing w:after="0" w:line="360" w:lineRule="auto"/>
        <w:jc w:val="both"/>
        <w:rPr>
          <w:rFonts w:eastAsia="BrandonGrotesque-Regular" w:cs="Arial"/>
          <w:sz w:val="24"/>
          <w:szCs w:val="24"/>
        </w:rPr>
      </w:pPr>
      <w:r w:rsidRPr="00997775">
        <w:rPr>
          <w:rFonts w:eastAsia="BrandonGrotesque-Regular" w:cs="Arial"/>
          <w:sz w:val="24"/>
          <w:szCs w:val="24"/>
        </w:rPr>
        <w:t xml:space="preserve">EU Commission (2017), </w:t>
      </w:r>
      <w:r w:rsidRPr="00997775">
        <w:rPr>
          <w:rFonts w:eastAsia="BrandonGrotesque-Regular" w:cs="Arial"/>
          <w:i/>
          <w:sz w:val="24"/>
          <w:szCs w:val="24"/>
        </w:rPr>
        <w:t>Education and Training Monitor 2017 Ireland</w:t>
      </w:r>
      <w:r w:rsidRPr="00997775">
        <w:rPr>
          <w:rFonts w:eastAsia="BrandonGrotesque-Regular" w:cs="Arial"/>
          <w:sz w:val="24"/>
          <w:szCs w:val="24"/>
        </w:rPr>
        <w:t>, Luxembourg: Publications Office of the European Union</w:t>
      </w:r>
    </w:p>
    <w:p w:rsidR="00A75F53" w:rsidRPr="00997775" w:rsidRDefault="00A75F53" w:rsidP="00997775">
      <w:pPr>
        <w:spacing w:line="360" w:lineRule="auto"/>
        <w:jc w:val="both"/>
        <w:rPr>
          <w:rFonts w:cs="Arial"/>
          <w:sz w:val="24"/>
          <w:szCs w:val="24"/>
        </w:rPr>
      </w:pPr>
      <w:r w:rsidRPr="00997775">
        <w:rPr>
          <w:rFonts w:cs="Arial"/>
          <w:sz w:val="24"/>
          <w:szCs w:val="24"/>
        </w:rPr>
        <w:t xml:space="preserve">EU Commission / EACEA / Eurydice (2018), </w:t>
      </w:r>
      <w:r w:rsidRPr="00997775">
        <w:rPr>
          <w:rFonts w:cs="Arial"/>
          <w:i/>
          <w:sz w:val="24"/>
          <w:szCs w:val="24"/>
        </w:rPr>
        <w:t>The European Higher Education Area in 2018: Bologna process implementation report</w:t>
      </w:r>
      <w:r w:rsidRPr="00997775">
        <w:rPr>
          <w:rFonts w:cs="Arial"/>
          <w:sz w:val="24"/>
          <w:szCs w:val="24"/>
        </w:rPr>
        <w:t xml:space="preserve">, Luxembourg: Publications Office of the European Union </w:t>
      </w:r>
    </w:p>
    <w:p w:rsidR="00A75F53" w:rsidRPr="00997775" w:rsidRDefault="00A75F53" w:rsidP="00997775">
      <w:pPr>
        <w:autoSpaceDE w:val="0"/>
        <w:autoSpaceDN w:val="0"/>
        <w:adjustRightInd w:val="0"/>
        <w:spacing w:after="0" w:line="360" w:lineRule="auto"/>
        <w:jc w:val="both"/>
        <w:rPr>
          <w:rFonts w:eastAsia="BrandonGrotesque-Regular" w:cs="Arial"/>
          <w:sz w:val="24"/>
          <w:szCs w:val="24"/>
        </w:rPr>
      </w:pPr>
      <w:r w:rsidRPr="00997775">
        <w:rPr>
          <w:rFonts w:eastAsia="BrandonGrotesque-Regular" w:cs="Arial"/>
          <w:sz w:val="24"/>
          <w:szCs w:val="24"/>
        </w:rPr>
        <w:t xml:space="preserve">EU Commission (2018), </w:t>
      </w:r>
      <w:r w:rsidRPr="00997775">
        <w:rPr>
          <w:rFonts w:eastAsia="BrandonGrotesque-Regular" w:cs="Arial"/>
          <w:i/>
          <w:sz w:val="24"/>
          <w:szCs w:val="24"/>
        </w:rPr>
        <w:t>Labour Market Policy Thematic Review 2018</w:t>
      </w:r>
      <w:r w:rsidRPr="00997775">
        <w:rPr>
          <w:rFonts w:eastAsia="BrandonGrotesque-Regular" w:cs="Arial"/>
          <w:sz w:val="24"/>
          <w:szCs w:val="24"/>
        </w:rPr>
        <w:t>, Luxembourg: Publications Office of the European Union</w:t>
      </w:r>
    </w:p>
    <w:p w:rsidR="00113177" w:rsidRPr="00997775" w:rsidRDefault="00113177" w:rsidP="00997775">
      <w:pPr>
        <w:spacing w:line="360" w:lineRule="auto"/>
        <w:jc w:val="both"/>
        <w:rPr>
          <w:rFonts w:cs="Arial"/>
          <w:sz w:val="24"/>
          <w:szCs w:val="24"/>
        </w:rPr>
      </w:pPr>
      <w:r w:rsidRPr="00997775">
        <w:rPr>
          <w:rFonts w:cs="Arial"/>
          <w:sz w:val="24"/>
          <w:szCs w:val="24"/>
        </w:rPr>
        <w:t xml:space="preserve">EY (2018), </w:t>
      </w:r>
      <w:r w:rsidRPr="00997775">
        <w:rPr>
          <w:rFonts w:cs="Arial"/>
          <w:i/>
          <w:sz w:val="24"/>
          <w:szCs w:val="24"/>
        </w:rPr>
        <w:t>Economic Eye Summer Forecast</w:t>
      </w:r>
      <w:r w:rsidRPr="00997775">
        <w:rPr>
          <w:rFonts w:cs="Arial"/>
          <w:sz w:val="24"/>
          <w:szCs w:val="24"/>
        </w:rPr>
        <w:t>, Dublin: Ernst &amp; Young Ireland</w:t>
      </w:r>
    </w:p>
    <w:p w:rsidR="00316E6E" w:rsidRDefault="006127FB" w:rsidP="00997775">
      <w:pPr>
        <w:spacing w:line="360" w:lineRule="auto"/>
        <w:jc w:val="both"/>
        <w:rPr>
          <w:rFonts w:cs="Arial"/>
          <w:sz w:val="24"/>
          <w:szCs w:val="24"/>
        </w:rPr>
      </w:pPr>
      <w:r w:rsidRPr="00997775">
        <w:rPr>
          <w:rFonts w:cs="Arial"/>
          <w:sz w:val="24"/>
          <w:szCs w:val="24"/>
        </w:rPr>
        <w:t xml:space="preserve">Fullan. M. (2008), </w:t>
      </w:r>
      <w:r w:rsidRPr="00997775">
        <w:rPr>
          <w:rFonts w:cs="Arial"/>
          <w:i/>
          <w:sz w:val="24"/>
          <w:szCs w:val="24"/>
        </w:rPr>
        <w:t>What’s Worth Fighting For in Headship?</w:t>
      </w:r>
      <w:r w:rsidRPr="00997775">
        <w:rPr>
          <w:rFonts w:cs="Arial"/>
          <w:sz w:val="24"/>
          <w:szCs w:val="24"/>
        </w:rPr>
        <w:t xml:space="preserve"> London: McGraw Hill Higher Education </w:t>
      </w:r>
    </w:p>
    <w:p w:rsidR="00A75F53" w:rsidRPr="00997775" w:rsidRDefault="00A75F53" w:rsidP="00997775">
      <w:pPr>
        <w:spacing w:line="360" w:lineRule="auto"/>
        <w:jc w:val="both"/>
        <w:rPr>
          <w:rFonts w:cs="Arial"/>
          <w:sz w:val="24"/>
          <w:szCs w:val="24"/>
        </w:rPr>
      </w:pPr>
      <w:r w:rsidRPr="00997775">
        <w:rPr>
          <w:rFonts w:cs="Arial"/>
          <w:sz w:val="24"/>
          <w:szCs w:val="24"/>
        </w:rPr>
        <w:t xml:space="preserve">Growing Up in Ireland (2017), </w:t>
      </w:r>
      <w:r w:rsidRPr="00997775">
        <w:rPr>
          <w:rFonts w:cs="Arial"/>
          <w:i/>
          <w:sz w:val="24"/>
          <w:szCs w:val="24"/>
        </w:rPr>
        <w:t>Key Findings: Infant cohort at 7/8 years, School and learning</w:t>
      </w:r>
      <w:r w:rsidRPr="00997775">
        <w:rPr>
          <w:rFonts w:cs="Arial"/>
          <w:sz w:val="24"/>
          <w:szCs w:val="24"/>
        </w:rPr>
        <w:t xml:space="preserve">, Dublin: ESRI </w:t>
      </w:r>
    </w:p>
    <w:p w:rsidR="00113177" w:rsidRPr="00997775" w:rsidRDefault="00113177" w:rsidP="00997775">
      <w:pPr>
        <w:spacing w:line="360" w:lineRule="auto"/>
        <w:jc w:val="both"/>
        <w:rPr>
          <w:rFonts w:cs="Arial"/>
          <w:sz w:val="24"/>
          <w:szCs w:val="24"/>
        </w:rPr>
      </w:pPr>
      <w:r w:rsidRPr="00997775">
        <w:rPr>
          <w:sz w:val="24"/>
          <w:szCs w:val="24"/>
        </w:rPr>
        <w:t>IMF</w:t>
      </w:r>
      <w:r w:rsidRPr="00997775">
        <w:rPr>
          <w:rFonts w:cs="Arial"/>
          <w:sz w:val="24"/>
          <w:szCs w:val="24"/>
        </w:rPr>
        <w:t xml:space="preserve"> (2017), </w:t>
      </w:r>
      <w:r w:rsidRPr="00997775">
        <w:rPr>
          <w:rFonts w:cs="Arial"/>
          <w:i/>
          <w:sz w:val="24"/>
          <w:szCs w:val="24"/>
        </w:rPr>
        <w:t>World Economic Outlook</w:t>
      </w:r>
      <w:r w:rsidRPr="00997775">
        <w:rPr>
          <w:rFonts w:cs="Arial"/>
          <w:sz w:val="24"/>
          <w:szCs w:val="24"/>
        </w:rPr>
        <w:t>, Washington DC: International Monetary Fund</w:t>
      </w:r>
    </w:p>
    <w:p w:rsidR="00E03DFB" w:rsidRPr="00997775" w:rsidRDefault="00E03DFB" w:rsidP="00E03DFB">
      <w:pPr>
        <w:spacing w:line="360" w:lineRule="auto"/>
        <w:jc w:val="both"/>
        <w:rPr>
          <w:rFonts w:cs="Arial"/>
          <w:sz w:val="24"/>
          <w:szCs w:val="24"/>
        </w:rPr>
      </w:pPr>
      <w:r w:rsidRPr="00997775">
        <w:rPr>
          <w:rFonts w:cs="Arial"/>
          <w:sz w:val="24"/>
          <w:szCs w:val="24"/>
        </w:rPr>
        <w:t xml:space="preserve">NCSE (2014), </w:t>
      </w:r>
      <w:r w:rsidRPr="00997775">
        <w:rPr>
          <w:rFonts w:cs="Arial"/>
          <w:i/>
          <w:sz w:val="24"/>
          <w:szCs w:val="24"/>
        </w:rPr>
        <w:t>Delivery for Students with Special Educational Needs</w:t>
      </w:r>
      <w:r w:rsidRPr="00997775">
        <w:rPr>
          <w:rFonts w:cs="Arial"/>
          <w:sz w:val="24"/>
          <w:szCs w:val="24"/>
        </w:rPr>
        <w:t>, Trim: National Council for Special Education</w:t>
      </w:r>
    </w:p>
    <w:p w:rsidR="00113177" w:rsidRPr="00997775" w:rsidRDefault="00113177" w:rsidP="00997775">
      <w:pPr>
        <w:spacing w:line="360" w:lineRule="auto"/>
        <w:jc w:val="both"/>
        <w:rPr>
          <w:rFonts w:cs="Arial"/>
          <w:sz w:val="24"/>
          <w:szCs w:val="24"/>
          <w:lang w:val="en-US"/>
        </w:rPr>
      </w:pPr>
      <w:r w:rsidRPr="00997775">
        <w:rPr>
          <w:rFonts w:cs="Arial"/>
          <w:sz w:val="24"/>
          <w:szCs w:val="24"/>
        </w:rPr>
        <w:t xml:space="preserve">NERI (2018), </w:t>
      </w:r>
      <w:r w:rsidRPr="00997775">
        <w:rPr>
          <w:rFonts w:cs="Arial"/>
          <w:i/>
          <w:sz w:val="24"/>
          <w:szCs w:val="24"/>
        </w:rPr>
        <w:t>Quarterly Economic Observer, Summer 2018</w:t>
      </w:r>
      <w:r w:rsidRPr="00997775">
        <w:rPr>
          <w:rFonts w:cs="Arial"/>
          <w:sz w:val="24"/>
          <w:szCs w:val="24"/>
        </w:rPr>
        <w:t>, Dublin: Nevin Economic Research Institute</w:t>
      </w:r>
      <w:r w:rsidRPr="00997775">
        <w:rPr>
          <w:rFonts w:cs="Arial"/>
          <w:sz w:val="24"/>
          <w:szCs w:val="24"/>
          <w:lang w:val="en-US"/>
        </w:rPr>
        <w:t xml:space="preserve"> </w:t>
      </w:r>
    </w:p>
    <w:p w:rsidR="00A75F53" w:rsidRPr="00997775" w:rsidRDefault="00A75F53" w:rsidP="00997775">
      <w:pPr>
        <w:spacing w:after="200" w:line="360" w:lineRule="auto"/>
        <w:jc w:val="both"/>
        <w:rPr>
          <w:sz w:val="24"/>
          <w:szCs w:val="24"/>
        </w:rPr>
      </w:pPr>
      <w:r w:rsidRPr="00997775">
        <w:rPr>
          <w:sz w:val="24"/>
          <w:szCs w:val="24"/>
        </w:rPr>
        <w:t xml:space="preserve">OECD (2009), </w:t>
      </w:r>
      <w:r w:rsidRPr="00997775">
        <w:rPr>
          <w:i/>
          <w:sz w:val="24"/>
          <w:szCs w:val="24"/>
        </w:rPr>
        <w:t>Education at a Glance</w:t>
      </w:r>
      <w:r w:rsidRPr="00997775">
        <w:rPr>
          <w:sz w:val="24"/>
          <w:szCs w:val="24"/>
        </w:rPr>
        <w:t xml:space="preserve">, Paris: Organisation for Economic Co-operation and Development </w:t>
      </w:r>
    </w:p>
    <w:p w:rsidR="005D21F5" w:rsidRPr="00997775" w:rsidRDefault="005D21F5" w:rsidP="00997775">
      <w:pPr>
        <w:spacing w:after="200" w:line="360" w:lineRule="auto"/>
        <w:jc w:val="both"/>
        <w:rPr>
          <w:sz w:val="24"/>
          <w:szCs w:val="24"/>
        </w:rPr>
      </w:pPr>
      <w:r w:rsidRPr="00997775">
        <w:rPr>
          <w:sz w:val="24"/>
          <w:szCs w:val="24"/>
        </w:rPr>
        <w:t xml:space="preserve">OECD (2013), </w:t>
      </w:r>
      <w:r w:rsidRPr="00997775">
        <w:rPr>
          <w:i/>
          <w:sz w:val="24"/>
          <w:szCs w:val="24"/>
        </w:rPr>
        <w:t>Education at a Glance</w:t>
      </w:r>
      <w:r w:rsidRPr="00997775">
        <w:rPr>
          <w:sz w:val="24"/>
          <w:szCs w:val="24"/>
        </w:rPr>
        <w:t xml:space="preserve">, Paris: Organisation for Economic Co-operation and Development </w:t>
      </w:r>
    </w:p>
    <w:p w:rsidR="00762B2C" w:rsidRPr="00997775" w:rsidRDefault="00762B2C" w:rsidP="00997775">
      <w:pPr>
        <w:spacing w:line="360" w:lineRule="auto"/>
        <w:jc w:val="both"/>
        <w:rPr>
          <w:rFonts w:cs="Arial"/>
          <w:sz w:val="24"/>
          <w:szCs w:val="24"/>
        </w:rPr>
      </w:pPr>
      <w:r w:rsidRPr="00997775">
        <w:rPr>
          <w:rFonts w:cs="Arial"/>
          <w:sz w:val="24"/>
          <w:szCs w:val="24"/>
        </w:rPr>
        <w:t xml:space="preserve">OECD (2014), </w:t>
      </w:r>
      <w:r w:rsidRPr="00997775">
        <w:rPr>
          <w:rFonts w:cs="Arial"/>
          <w:i/>
          <w:sz w:val="24"/>
          <w:szCs w:val="24"/>
        </w:rPr>
        <w:t>PISA Results 2012</w:t>
      </w:r>
      <w:r w:rsidRPr="00997775">
        <w:rPr>
          <w:rFonts w:cs="Arial"/>
          <w:sz w:val="24"/>
          <w:szCs w:val="24"/>
        </w:rPr>
        <w:t>, Paris: OECD Publishing</w:t>
      </w:r>
    </w:p>
    <w:p w:rsidR="00A75F53" w:rsidRPr="00997775" w:rsidRDefault="00A75F53" w:rsidP="00997775">
      <w:pPr>
        <w:spacing w:line="360" w:lineRule="auto"/>
        <w:jc w:val="both"/>
        <w:rPr>
          <w:rFonts w:cs="Arial"/>
          <w:sz w:val="24"/>
          <w:szCs w:val="24"/>
        </w:rPr>
      </w:pPr>
      <w:r w:rsidRPr="00997775">
        <w:rPr>
          <w:rFonts w:cs="Arial"/>
          <w:sz w:val="24"/>
          <w:szCs w:val="24"/>
        </w:rPr>
        <w:t xml:space="preserve">OECD (2015a), </w:t>
      </w:r>
      <w:r w:rsidRPr="00997775">
        <w:rPr>
          <w:rFonts w:cs="Arial"/>
          <w:i/>
          <w:sz w:val="24"/>
          <w:szCs w:val="24"/>
        </w:rPr>
        <w:t>Government at a Glance 2015</w:t>
      </w:r>
      <w:r w:rsidRPr="00997775">
        <w:rPr>
          <w:rFonts w:cs="Arial"/>
          <w:sz w:val="24"/>
          <w:szCs w:val="24"/>
        </w:rPr>
        <w:t xml:space="preserve">, Paris: OECD Publishing </w:t>
      </w:r>
    </w:p>
    <w:p w:rsidR="00A75F53" w:rsidRPr="00997775" w:rsidRDefault="00A75F53" w:rsidP="00997775">
      <w:pPr>
        <w:spacing w:line="360" w:lineRule="auto"/>
        <w:jc w:val="both"/>
        <w:rPr>
          <w:rFonts w:cs="Arial"/>
          <w:sz w:val="24"/>
          <w:szCs w:val="24"/>
        </w:rPr>
      </w:pPr>
      <w:r w:rsidRPr="00997775">
        <w:rPr>
          <w:rFonts w:cs="Arial"/>
          <w:sz w:val="24"/>
          <w:szCs w:val="24"/>
        </w:rPr>
        <w:t xml:space="preserve">OECD (2015b), </w:t>
      </w:r>
      <w:r w:rsidRPr="00997775">
        <w:rPr>
          <w:rFonts w:cs="Arial"/>
          <w:i/>
          <w:sz w:val="24"/>
          <w:szCs w:val="24"/>
        </w:rPr>
        <w:t>Education at a Glance 2015</w:t>
      </w:r>
      <w:r w:rsidRPr="00997775">
        <w:rPr>
          <w:rFonts w:cs="Arial"/>
          <w:sz w:val="24"/>
          <w:szCs w:val="24"/>
        </w:rPr>
        <w:t>, Paris: OECD Publishing</w:t>
      </w:r>
    </w:p>
    <w:p w:rsidR="00113177" w:rsidRPr="00997775" w:rsidRDefault="00113177" w:rsidP="00997775">
      <w:pPr>
        <w:spacing w:line="360" w:lineRule="auto"/>
        <w:jc w:val="both"/>
        <w:rPr>
          <w:rFonts w:cs="Arial"/>
          <w:sz w:val="24"/>
          <w:szCs w:val="24"/>
        </w:rPr>
      </w:pPr>
      <w:r w:rsidRPr="00997775">
        <w:rPr>
          <w:rFonts w:cs="Arial"/>
          <w:sz w:val="24"/>
          <w:szCs w:val="24"/>
        </w:rPr>
        <w:t xml:space="preserve">OECD (2018), </w:t>
      </w:r>
      <w:r w:rsidRPr="00997775">
        <w:rPr>
          <w:rFonts w:cs="Arial"/>
          <w:i/>
          <w:sz w:val="24"/>
          <w:szCs w:val="24"/>
        </w:rPr>
        <w:t>European Union 2018</w:t>
      </w:r>
      <w:r w:rsidRPr="00997775">
        <w:rPr>
          <w:rFonts w:cs="Arial"/>
          <w:sz w:val="24"/>
          <w:szCs w:val="24"/>
        </w:rPr>
        <w:t>, Paris: OECD Publishing</w:t>
      </w:r>
    </w:p>
    <w:p w:rsidR="00A75F53" w:rsidRPr="00997775" w:rsidRDefault="00A75F53" w:rsidP="00997775">
      <w:pPr>
        <w:autoSpaceDE w:val="0"/>
        <w:autoSpaceDN w:val="0"/>
        <w:adjustRightInd w:val="0"/>
        <w:spacing w:after="0" w:line="360" w:lineRule="auto"/>
        <w:jc w:val="both"/>
        <w:rPr>
          <w:rFonts w:cs="Arial"/>
          <w:color w:val="000000"/>
          <w:sz w:val="24"/>
          <w:szCs w:val="24"/>
        </w:rPr>
      </w:pPr>
      <w:r w:rsidRPr="00997775">
        <w:rPr>
          <w:rFonts w:cs="Arial"/>
          <w:sz w:val="24"/>
          <w:szCs w:val="24"/>
        </w:rPr>
        <w:t xml:space="preserve">Scanlon, G. &amp; McKenna, G. (2018), </w:t>
      </w:r>
      <w:r w:rsidRPr="00997775">
        <w:rPr>
          <w:rFonts w:cs="Arial"/>
          <w:i/>
          <w:sz w:val="24"/>
          <w:szCs w:val="24"/>
        </w:rPr>
        <w:t>Home Works: A study on the educational needs of children experiencing homelessness and living in emergency accommodation</w:t>
      </w:r>
      <w:r w:rsidRPr="00997775">
        <w:rPr>
          <w:rFonts w:cs="Arial"/>
          <w:sz w:val="24"/>
          <w:szCs w:val="24"/>
        </w:rPr>
        <w:t>, Dublin: Children’s Rights Alliance</w:t>
      </w:r>
      <w:r w:rsidRPr="00997775">
        <w:rPr>
          <w:rFonts w:cs="Arial"/>
          <w:color w:val="000000"/>
          <w:sz w:val="24"/>
          <w:szCs w:val="24"/>
        </w:rPr>
        <w:t xml:space="preserve"> </w:t>
      </w:r>
    </w:p>
    <w:p w:rsidR="00A75F53" w:rsidRPr="00997775" w:rsidRDefault="00A75F53" w:rsidP="00997775">
      <w:pPr>
        <w:autoSpaceDE w:val="0"/>
        <w:autoSpaceDN w:val="0"/>
        <w:adjustRightInd w:val="0"/>
        <w:spacing w:after="0" w:line="360" w:lineRule="auto"/>
        <w:jc w:val="both"/>
        <w:rPr>
          <w:rFonts w:cs="Arial"/>
          <w:color w:val="000000"/>
          <w:sz w:val="24"/>
          <w:szCs w:val="24"/>
        </w:rPr>
      </w:pPr>
      <w:r w:rsidRPr="00997775">
        <w:rPr>
          <w:rFonts w:cs="Arial"/>
          <w:color w:val="000000"/>
          <w:sz w:val="24"/>
          <w:szCs w:val="24"/>
        </w:rPr>
        <w:t xml:space="preserve">SJI (2018), </w:t>
      </w:r>
      <w:r w:rsidRPr="00997775">
        <w:rPr>
          <w:rFonts w:cs="Arial"/>
          <w:i/>
          <w:color w:val="000000"/>
          <w:sz w:val="24"/>
          <w:szCs w:val="24"/>
        </w:rPr>
        <w:t>Poverty Focus 2018</w:t>
      </w:r>
      <w:r w:rsidRPr="00997775">
        <w:rPr>
          <w:rFonts w:cs="Arial"/>
          <w:color w:val="000000"/>
          <w:sz w:val="24"/>
          <w:szCs w:val="24"/>
        </w:rPr>
        <w:t>, Dublin: Social Justice Ireland</w:t>
      </w:r>
    </w:p>
    <w:p w:rsidR="00A75F53" w:rsidRPr="00997775" w:rsidRDefault="00A75F53" w:rsidP="00997775">
      <w:pPr>
        <w:spacing w:line="360" w:lineRule="auto"/>
        <w:jc w:val="both"/>
        <w:rPr>
          <w:rFonts w:cs="Arial"/>
          <w:sz w:val="24"/>
          <w:szCs w:val="24"/>
        </w:rPr>
      </w:pPr>
      <w:r w:rsidRPr="00997775">
        <w:rPr>
          <w:rFonts w:cs="Arial"/>
          <w:sz w:val="24"/>
          <w:szCs w:val="24"/>
        </w:rPr>
        <w:t xml:space="preserve">Social Progress Initiative (2018), </w:t>
      </w:r>
      <w:r w:rsidRPr="00997775">
        <w:rPr>
          <w:rFonts w:cs="Arial"/>
          <w:i/>
          <w:sz w:val="24"/>
          <w:szCs w:val="24"/>
        </w:rPr>
        <w:t>Social Progress Index 2018</w:t>
      </w:r>
      <w:r w:rsidRPr="00997775">
        <w:rPr>
          <w:rFonts w:cs="Arial"/>
          <w:sz w:val="24"/>
          <w:szCs w:val="24"/>
        </w:rPr>
        <w:t>, Washington DC, USA: Social Progress Imperative</w:t>
      </w:r>
    </w:p>
    <w:p w:rsidR="00A75F53" w:rsidRPr="00997775" w:rsidRDefault="00A75F53" w:rsidP="00997775">
      <w:pPr>
        <w:spacing w:line="360" w:lineRule="auto"/>
        <w:jc w:val="both"/>
        <w:rPr>
          <w:sz w:val="24"/>
          <w:szCs w:val="24"/>
        </w:rPr>
      </w:pPr>
      <w:r w:rsidRPr="00997775">
        <w:rPr>
          <w:rFonts w:cs="Arial"/>
          <w:sz w:val="24"/>
          <w:szCs w:val="24"/>
        </w:rPr>
        <w:t xml:space="preserve">Teaching Council (2010), </w:t>
      </w:r>
      <w:r w:rsidRPr="00997775">
        <w:rPr>
          <w:rFonts w:cs="Arial"/>
          <w:i/>
          <w:sz w:val="24"/>
          <w:szCs w:val="24"/>
        </w:rPr>
        <w:t>Evaluation of Public Attitudes to the Teaching Profession</w:t>
      </w:r>
      <w:r w:rsidRPr="00997775">
        <w:rPr>
          <w:rFonts w:cs="Arial"/>
          <w:sz w:val="24"/>
          <w:szCs w:val="24"/>
        </w:rPr>
        <w:t>, Maynooth: Teaching Council</w:t>
      </w:r>
    </w:p>
    <w:p w:rsidR="00BE7055" w:rsidRPr="00BE7055" w:rsidRDefault="00BE7055" w:rsidP="00BE7055">
      <w:pPr>
        <w:spacing w:after="0" w:line="360" w:lineRule="auto"/>
        <w:rPr>
          <w:rFonts w:cs="Arial"/>
          <w:sz w:val="24"/>
          <w:szCs w:val="24"/>
        </w:rPr>
      </w:pPr>
      <w:r>
        <w:rPr>
          <w:rFonts w:cs="Arial"/>
          <w:sz w:val="24"/>
          <w:szCs w:val="24"/>
        </w:rPr>
        <w:t xml:space="preserve">TUI (2018), </w:t>
      </w:r>
      <w:r w:rsidRPr="00BE7055">
        <w:rPr>
          <w:rFonts w:cs="Arial"/>
          <w:i/>
          <w:sz w:val="24"/>
          <w:szCs w:val="24"/>
        </w:rPr>
        <w:t>Submission to Joint Oireachtas Committee on Education and Skills regarding ‘issues relating to recruitment and retention of teachers’</w:t>
      </w:r>
      <w:r w:rsidRPr="00BE7055">
        <w:rPr>
          <w:rFonts w:cs="Arial"/>
          <w:sz w:val="24"/>
          <w:szCs w:val="24"/>
        </w:rPr>
        <w:t xml:space="preserve"> (April 24th, 2018)</w:t>
      </w:r>
    </w:p>
    <w:p w:rsidR="00A75F53" w:rsidRPr="00997775" w:rsidRDefault="00A75F53" w:rsidP="00997775">
      <w:pPr>
        <w:spacing w:line="360" w:lineRule="auto"/>
        <w:jc w:val="both"/>
        <w:rPr>
          <w:rFonts w:cs="Arial"/>
          <w:sz w:val="24"/>
          <w:szCs w:val="24"/>
        </w:rPr>
      </w:pPr>
      <w:r w:rsidRPr="00997775">
        <w:rPr>
          <w:rFonts w:cs="Arial"/>
          <w:sz w:val="24"/>
          <w:szCs w:val="24"/>
        </w:rPr>
        <w:t xml:space="preserve">United Nations Development Programme (2018), </w:t>
      </w:r>
      <w:r w:rsidRPr="00997775">
        <w:rPr>
          <w:rFonts w:cs="Arial"/>
          <w:i/>
          <w:sz w:val="24"/>
          <w:szCs w:val="24"/>
        </w:rPr>
        <w:t>Human Development Indices and Indicators: 2018 statistical update</w:t>
      </w:r>
      <w:r w:rsidRPr="00997775">
        <w:rPr>
          <w:rFonts w:cs="Arial"/>
          <w:sz w:val="24"/>
          <w:szCs w:val="24"/>
        </w:rPr>
        <w:t>, New York: United Nations</w:t>
      </w:r>
    </w:p>
    <w:p w:rsidR="00790549" w:rsidRPr="00997775" w:rsidRDefault="00790549" w:rsidP="00997775">
      <w:pPr>
        <w:spacing w:line="360" w:lineRule="auto"/>
        <w:jc w:val="both"/>
        <w:rPr>
          <w:rFonts w:cs="Arial"/>
          <w:sz w:val="24"/>
          <w:szCs w:val="24"/>
        </w:rPr>
      </w:pPr>
    </w:p>
    <w:p w:rsidR="00790549" w:rsidRPr="00997775" w:rsidRDefault="00790549" w:rsidP="00997775">
      <w:pPr>
        <w:spacing w:line="360" w:lineRule="auto"/>
        <w:jc w:val="both"/>
        <w:rPr>
          <w:rFonts w:cs="Arial"/>
          <w:sz w:val="24"/>
          <w:szCs w:val="24"/>
        </w:rPr>
      </w:pPr>
    </w:p>
    <w:p w:rsidR="00910760" w:rsidRPr="00997775" w:rsidRDefault="00910760" w:rsidP="00997775">
      <w:pPr>
        <w:spacing w:line="360" w:lineRule="auto"/>
        <w:jc w:val="both"/>
        <w:rPr>
          <w:rFonts w:cs="Arial"/>
          <w:b/>
          <w:sz w:val="24"/>
          <w:szCs w:val="24"/>
        </w:rPr>
      </w:pPr>
    </w:p>
    <w:sectPr w:rsidR="00910760" w:rsidRPr="0099777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1291" w:rsidRDefault="00CE1291" w:rsidP="0084145C">
      <w:pPr>
        <w:spacing w:after="0" w:line="240" w:lineRule="auto"/>
      </w:pPr>
      <w:r>
        <w:separator/>
      </w:r>
    </w:p>
  </w:endnote>
  <w:endnote w:type="continuationSeparator" w:id="0">
    <w:p w:rsidR="00CE1291" w:rsidRDefault="00CE1291" w:rsidP="00841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randonGrotesque-Regular">
    <w:altName w:val="MS Gothic"/>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1154215"/>
      <w:docPartObj>
        <w:docPartGallery w:val="Page Numbers (Bottom of Page)"/>
        <w:docPartUnique/>
      </w:docPartObj>
    </w:sdtPr>
    <w:sdtEndPr>
      <w:rPr>
        <w:noProof/>
      </w:rPr>
    </w:sdtEndPr>
    <w:sdtContent>
      <w:p w:rsidR="00422E4E" w:rsidRDefault="00422E4E">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rsidR="00422E4E" w:rsidRDefault="00422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1291" w:rsidRDefault="00CE1291" w:rsidP="0084145C">
      <w:pPr>
        <w:spacing w:after="0" w:line="240" w:lineRule="auto"/>
      </w:pPr>
      <w:r>
        <w:separator/>
      </w:r>
    </w:p>
  </w:footnote>
  <w:footnote w:type="continuationSeparator" w:id="0">
    <w:p w:rsidR="00CE1291" w:rsidRDefault="00CE1291" w:rsidP="008414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3591D"/>
    <w:multiLevelType w:val="hybridMultilevel"/>
    <w:tmpl w:val="FCF4E98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B3D46"/>
    <w:multiLevelType w:val="hybridMultilevel"/>
    <w:tmpl w:val="E39C8B06"/>
    <w:lvl w:ilvl="0" w:tplc="083C001B">
      <w:start w:val="1"/>
      <w:numFmt w:val="lowerRoman"/>
      <w:lvlText w:val="%1."/>
      <w:lvlJc w:val="righ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0C2E46"/>
    <w:multiLevelType w:val="hybridMultilevel"/>
    <w:tmpl w:val="E64E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13EC2"/>
    <w:multiLevelType w:val="hybridMultilevel"/>
    <w:tmpl w:val="A1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76AEE"/>
    <w:multiLevelType w:val="hybridMultilevel"/>
    <w:tmpl w:val="D9F05218"/>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5" w15:restartNumberingAfterBreak="0">
    <w:nsid w:val="0CE44B3F"/>
    <w:multiLevelType w:val="hybridMultilevel"/>
    <w:tmpl w:val="D9BA6F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E1453DE"/>
    <w:multiLevelType w:val="multilevel"/>
    <w:tmpl w:val="63CE46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1EA62D9"/>
    <w:multiLevelType w:val="hybridMultilevel"/>
    <w:tmpl w:val="C03A0134"/>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8" w15:restartNumberingAfterBreak="0">
    <w:nsid w:val="13862316"/>
    <w:multiLevelType w:val="hybridMultilevel"/>
    <w:tmpl w:val="5642A106"/>
    <w:lvl w:ilvl="0" w:tplc="083C0017">
      <w:start w:val="1"/>
      <w:numFmt w:val="lowerLetter"/>
      <w:lvlText w:val="%1)"/>
      <w:lvlJc w:val="left"/>
      <w:pPr>
        <w:ind w:left="720" w:hanging="360"/>
      </w:p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9" w15:restartNumberingAfterBreak="0">
    <w:nsid w:val="16572A38"/>
    <w:multiLevelType w:val="hybridMultilevel"/>
    <w:tmpl w:val="C6F2C25A"/>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12D02A7"/>
    <w:multiLevelType w:val="hybridMultilevel"/>
    <w:tmpl w:val="DF7ADA7E"/>
    <w:lvl w:ilvl="0" w:tplc="083C0017">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37A41C8"/>
    <w:multiLevelType w:val="hybridMultilevel"/>
    <w:tmpl w:val="D36A14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5852031"/>
    <w:multiLevelType w:val="hybridMultilevel"/>
    <w:tmpl w:val="4CD4D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0D0133"/>
    <w:multiLevelType w:val="hybridMultilevel"/>
    <w:tmpl w:val="41802A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9A25D40"/>
    <w:multiLevelType w:val="hybridMultilevel"/>
    <w:tmpl w:val="7A8E07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AD74303"/>
    <w:multiLevelType w:val="hybridMultilevel"/>
    <w:tmpl w:val="E654B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1F3F49"/>
    <w:multiLevelType w:val="hybridMultilevel"/>
    <w:tmpl w:val="45BC989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47B16C2"/>
    <w:multiLevelType w:val="hybridMultilevel"/>
    <w:tmpl w:val="877C0F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5541259"/>
    <w:multiLevelType w:val="hybridMultilevel"/>
    <w:tmpl w:val="076E667E"/>
    <w:lvl w:ilvl="0" w:tplc="083C0011">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5E609FA"/>
    <w:multiLevelType w:val="hybridMultilevel"/>
    <w:tmpl w:val="1F80E024"/>
    <w:lvl w:ilvl="0" w:tplc="C2328FE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67145BB"/>
    <w:multiLevelType w:val="hybridMultilevel"/>
    <w:tmpl w:val="A0F44224"/>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21" w15:restartNumberingAfterBreak="0">
    <w:nsid w:val="36B4530F"/>
    <w:multiLevelType w:val="hybridMultilevel"/>
    <w:tmpl w:val="59CEBE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7933D98"/>
    <w:multiLevelType w:val="hybridMultilevel"/>
    <w:tmpl w:val="6F1ABBBA"/>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23" w15:restartNumberingAfterBreak="0">
    <w:nsid w:val="3EDF3F2C"/>
    <w:multiLevelType w:val="hybridMultilevel"/>
    <w:tmpl w:val="4CDE3742"/>
    <w:lvl w:ilvl="0" w:tplc="A4B894B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40E08A7"/>
    <w:multiLevelType w:val="multilevel"/>
    <w:tmpl w:val="5218D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147495"/>
    <w:multiLevelType w:val="hybridMultilevel"/>
    <w:tmpl w:val="8F9CEAC4"/>
    <w:lvl w:ilvl="0" w:tplc="0A82729E">
      <w:start w:val="1"/>
      <w:numFmt w:val="decimal"/>
      <w:lvlText w:val="(%1)"/>
      <w:lvlJc w:val="left"/>
      <w:pPr>
        <w:ind w:left="720" w:hanging="360"/>
      </w:pPr>
      <w:rPr>
        <w:rFonts w:hint="default"/>
      </w:r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26" w15:restartNumberingAfterBreak="0">
    <w:nsid w:val="6672755F"/>
    <w:multiLevelType w:val="hybridMultilevel"/>
    <w:tmpl w:val="6A7C95A8"/>
    <w:lvl w:ilvl="0" w:tplc="8C76071E">
      <w:start w:val="1"/>
      <w:numFmt w:val="lowerLetter"/>
      <w:lvlText w:val="(%1)"/>
      <w:lvlJc w:val="left"/>
      <w:pPr>
        <w:ind w:left="720" w:hanging="360"/>
      </w:pPr>
      <w:rPr>
        <w:rFonts w:hint="default"/>
      </w:r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27" w15:restartNumberingAfterBreak="0">
    <w:nsid w:val="69FF3B5D"/>
    <w:multiLevelType w:val="hybridMultilevel"/>
    <w:tmpl w:val="7EC494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6E7E24"/>
    <w:multiLevelType w:val="hybridMultilevel"/>
    <w:tmpl w:val="2794B98A"/>
    <w:lvl w:ilvl="0" w:tplc="77206D6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C493E0A"/>
    <w:multiLevelType w:val="multilevel"/>
    <w:tmpl w:val="9DF65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4B0A51"/>
    <w:multiLevelType w:val="hybridMultilevel"/>
    <w:tmpl w:val="F6441B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27"/>
  </w:num>
  <w:num w:numId="4">
    <w:abstractNumId w:val="2"/>
  </w:num>
  <w:num w:numId="5">
    <w:abstractNumId w:val="0"/>
  </w:num>
  <w:num w:numId="6">
    <w:abstractNumId w:val="13"/>
  </w:num>
  <w:num w:numId="7">
    <w:abstractNumId w:val="5"/>
  </w:num>
  <w:num w:numId="8">
    <w:abstractNumId w:val="30"/>
  </w:num>
  <w:num w:numId="9">
    <w:abstractNumId w:val="17"/>
  </w:num>
  <w:num w:numId="10">
    <w:abstractNumId w:val="9"/>
  </w:num>
  <w:num w:numId="11">
    <w:abstractNumId w:val="16"/>
  </w:num>
  <w:num w:numId="12">
    <w:abstractNumId w:val="11"/>
  </w:num>
  <w:num w:numId="13">
    <w:abstractNumId w:val="6"/>
  </w:num>
  <w:num w:numId="14">
    <w:abstractNumId w:val="21"/>
  </w:num>
  <w:num w:numId="15">
    <w:abstractNumId w:val="24"/>
  </w:num>
  <w:num w:numId="16">
    <w:abstractNumId w:val="8"/>
  </w:num>
  <w:num w:numId="17">
    <w:abstractNumId w:val="20"/>
  </w:num>
  <w:num w:numId="18">
    <w:abstractNumId w:val="4"/>
  </w:num>
  <w:num w:numId="19">
    <w:abstractNumId w:val="7"/>
  </w:num>
  <w:num w:numId="20">
    <w:abstractNumId w:val="22"/>
  </w:num>
  <w:num w:numId="21">
    <w:abstractNumId w:val="26"/>
  </w:num>
  <w:num w:numId="22">
    <w:abstractNumId w:val="25"/>
  </w:num>
  <w:num w:numId="23">
    <w:abstractNumId w:val="28"/>
  </w:num>
  <w:num w:numId="24">
    <w:abstractNumId w:val="19"/>
  </w:num>
  <w:num w:numId="25">
    <w:abstractNumId w:val="1"/>
  </w:num>
  <w:num w:numId="26">
    <w:abstractNumId w:val="10"/>
  </w:num>
  <w:num w:numId="27">
    <w:abstractNumId w:val="18"/>
  </w:num>
  <w:num w:numId="28">
    <w:abstractNumId w:val="12"/>
  </w:num>
  <w:num w:numId="29">
    <w:abstractNumId w:val="29"/>
  </w:num>
  <w:num w:numId="30">
    <w:abstractNumId w:val="14"/>
  </w:num>
  <w:num w:numId="31">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DB4"/>
    <w:rsid w:val="00001F6F"/>
    <w:rsid w:val="00020DB4"/>
    <w:rsid w:val="00021C7B"/>
    <w:rsid w:val="00023BC3"/>
    <w:rsid w:val="00030807"/>
    <w:rsid w:val="000341D9"/>
    <w:rsid w:val="000478ED"/>
    <w:rsid w:val="0006636D"/>
    <w:rsid w:val="000A32E3"/>
    <w:rsid w:val="000B6D1B"/>
    <w:rsid w:val="000C09F6"/>
    <w:rsid w:val="000C2063"/>
    <w:rsid w:val="000D78D5"/>
    <w:rsid w:val="000D7D68"/>
    <w:rsid w:val="000E22A7"/>
    <w:rsid w:val="000E49FC"/>
    <w:rsid w:val="001036F9"/>
    <w:rsid w:val="0010428C"/>
    <w:rsid w:val="00113177"/>
    <w:rsid w:val="00123F17"/>
    <w:rsid w:val="001456A9"/>
    <w:rsid w:val="001674FA"/>
    <w:rsid w:val="0017785B"/>
    <w:rsid w:val="0018717F"/>
    <w:rsid w:val="0019362F"/>
    <w:rsid w:val="00194340"/>
    <w:rsid w:val="00197292"/>
    <w:rsid w:val="001A0ED8"/>
    <w:rsid w:val="001A568E"/>
    <w:rsid w:val="001C4AAE"/>
    <w:rsid w:val="001D412D"/>
    <w:rsid w:val="001D54F1"/>
    <w:rsid w:val="00210A17"/>
    <w:rsid w:val="00225FFB"/>
    <w:rsid w:val="00237633"/>
    <w:rsid w:val="0024520B"/>
    <w:rsid w:val="00246EE2"/>
    <w:rsid w:val="0027542B"/>
    <w:rsid w:val="00282CA3"/>
    <w:rsid w:val="00290384"/>
    <w:rsid w:val="00293524"/>
    <w:rsid w:val="002A569F"/>
    <w:rsid w:val="002B16C3"/>
    <w:rsid w:val="002B2B58"/>
    <w:rsid w:val="002B3562"/>
    <w:rsid w:val="002D6B85"/>
    <w:rsid w:val="002E13B8"/>
    <w:rsid w:val="002E490F"/>
    <w:rsid w:val="002E553B"/>
    <w:rsid w:val="002F2AD1"/>
    <w:rsid w:val="00311F72"/>
    <w:rsid w:val="00316E6E"/>
    <w:rsid w:val="003500DD"/>
    <w:rsid w:val="003505F9"/>
    <w:rsid w:val="003662FD"/>
    <w:rsid w:val="00367268"/>
    <w:rsid w:val="00373B48"/>
    <w:rsid w:val="00385F92"/>
    <w:rsid w:val="003A3C5D"/>
    <w:rsid w:val="003A69DE"/>
    <w:rsid w:val="003B07B6"/>
    <w:rsid w:val="003C18DB"/>
    <w:rsid w:val="003C52DD"/>
    <w:rsid w:val="003D29AE"/>
    <w:rsid w:val="003D4A25"/>
    <w:rsid w:val="003D570A"/>
    <w:rsid w:val="003F14EB"/>
    <w:rsid w:val="00406327"/>
    <w:rsid w:val="0041104C"/>
    <w:rsid w:val="0042135E"/>
    <w:rsid w:val="004224BF"/>
    <w:rsid w:val="00422E4E"/>
    <w:rsid w:val="004304DC"/>
    <w:rsid w:val="004341CF"/>
    <w:rsid w:val="004677D3"/>
    <w:rsid w:val="00472ABE"/>
    <w:rsid w:val="00474B52"/>
    <w:rsid w:val="00487B33"/>
    <w:rsid w:val="004965AF"/>
    <w:rsid w:val="004B2784"/>
    <w:rsid w:val="004B3052"/>
    <w:rsid w:val="004D7897"/>
    <w:rsid w:val="005160BD"/>
    <w:rsid w:val="00522B53"/>
    <w:rsid w:val="005274C8"/>
    <w:rsid w:val="00542334"/>
    <w:rsid w:val="00554298"/>
    <w:rsid w:val="00577038"/>
    <w:rsid w:val="00592A08"/>
    <w:rsid w:val="00596287"/>
    <w:rsid w:val="005D21F5"/>
    <w:rsid w:val="005E3702"/>
    <w:rsid w:val="005F1A07"/>
    <w:rsid w:val="006127FB"/>
    <w:rsid w:val="0061355D"/>
    <w:rsid w:val="0061555D"/>
    <w:rsid w:val="0063366D"/>
    <w:rsid w:val="006928E9"/>
    <w:rsid w:val="00693C7E"/>
    <w:rsid w:val="00695428"/>
    <w:rsid w:val="0069772B"/>
    <w:rsid w:val="00697FB0"/>
    <w:rsid w:val="006B2416"/>
    <w:rsid w:val="006C058B"/>
    <w:rsid w:val="006C3BF5"/>
    <w:rsid w:val="006D2A92"/>
    <w:rsid w:val="006E4C85"/>
    <w:rsid w:val="006F5DF0"/>
    <w:rsid w:val="007024A5"/>
    <w:rsid w:val="0071123F"/>
    <w:rsid w:val="00712425"/>
    <w:rsid w:val="00755A57"/>
    <w:rsid w:val="00762B2C"/>
    <w:rsid w:val="0076340A"/>
    <w:rsid w:val="00763D74"/>
    <w:rsid w:val="00775B69"/>
    <w:rsid w:val="00790549"/>
    <w:rsid w:val="007941B9"/>
    <w:rsid w:val="00795F12"/>
    <w:rsid w:val="007A5F18"/>
    <w:rsid w:val="007B4766"/>
    <w:rsid w:val="007C6EA7"/>
    <w:rsid w:val="007D59D1"/>
    <w:rsid w:val="007D615C"/>
    <w:rsid w:val="007D7D5B"/>
    <w:rsid w:val="007E025D"/>
    <w:rsid w:val="007E5BC8"/>
    <w:rsid w:val="00805E28"/>
    <w:rsid w:val="00826C52"/>
    <w:rsid w:val="00836D4D"/>
    <w:rsid w:val="0084145C"/>
    <w:rsid w:val="00844B02"/>
    <w:rsid w:val="00852D95"/>
    <w:rsid w:val="00855607"/>
    <w:rsid w:val="00861287"/>
    <w:rsid w:val="00866A05"/>
    <w:rsid w:val="00870E5E"/>
    <w:rsid w:val="008749A9"/>
    <w:rsid w:val="00894C32"/>
    <w:rsid w:val="008D2C23"/>
    <w:rsid w:val="008E2D2D"/>
    <w:rsid w:val="008E31BF"/>
    <w:rsid w:val="0090239F"/>
    <w:rsid w:val="00910760"/>
    <w:rsid w:val="00911BE1"/>
    <w:rsid w:val="009244B3"/>
    <w:rsid w:val="00933273"/>
    <w:rsid w:val="00945749"/>
    <w:rsid w:val="00963D08"/>
    <w:rsid w:val="00964FCE"/>
    <w:rsid w:val="00970670"/>
    <w:rsid w:val="00980209"/>
    <w:rsid w:val="009833B2"/>
    <w:rsid w:val="00986C73"/>
    <w:rsid w:val="00990B58"/>
    <w:rsid w:val="00997775"/>
    <w:rsid w:val="009A4C47"/>
    <w:rsid w:val="009B11C9"/>
    <w:rsid w:val="009C1801"/>
    <w:rsid w:val="009D70E7"/>
    <w:rsid w:val="009E2540"/>
    <w:rsid w:val="009F2DB6"/>
    <w:rsid w:val="009F3034"/>
    <w:rsid w:val="00A12494"/>
    <w:rsid w:val="00A23190"/>
    <w:rsid w:val="00A43DEB"/>
    <w:rsid w:val="00A45A22"/>
    <w:rsid w:val="00A54949"/>
    <w:rsid w:val="00A560A4"/>
    <w:rsid w:val="00A62069"/>
    <w:rsid w:val="00A75F53"/>
    <w:rsid w:val="00A81D53"/>
    <w:rsid w:val="00A848C4"/>
    <w:rsid w:val="00AB30BB"/>
    <w:rsid w:val="00AC11E4"/>
    <w:rsid w:val="00AC6FC2"/>
    <w:rsid w:val="00AD7A53"/>
    <w:rsid w:val="00AE3E15"/>
    <w:rsid w:val="00AE5DDC"/>
    <w:rsid w:val="00AF2DE2"/>
    <w:rsid w:val="00AF31A1"/>
    <w:rsid w:val="00B0011F"/>
    <w:rsid w:val="00B42153"/>
    <w:rsid w:val="00B64AE2"/>
    <w:rsid w:val="00BA4498"/>
    <w:rsid w:val="00BD0FAF"/>
    <w:rsid w:val="00BD16B5"/>
    <w:rsid w:val="00BD3F30"/>
    <w:rsid w:val="00BE7055"/>
    <w:rsid w:val="00BF7DBD"/>
    <w:rsid w:val="00BF7EF9"/>
    <w:rsid w:val="00C04963"/>
    <w:rsid w:val="00C06C58"/>
    <w:rsid w:val="00C100F8"/>
    <w:rsid w:val="00C20F3D"/>
    <w:rsid w:val="00C31378"/>
    <w:rsid w:val="00C32A5C"/>
    <w:rsid w:val="00C33495"/>
    <w:rsid w:val="00C41C84"/>
    <w:rsid w:val="00C43B39"/>
    <w:rsid w:val="00C75B3A"/>
    <w:rsid w:val="00C82359"/>
    <w:rsid w:val="00C83C29"/>
    <w:rsid w:val="00C84F06"/>
    <w:rsid w:val="00C866CB"/>
    <w:rsid w:val="00C8791A"/>
    <w:rsid w:val="00CA6AD9"/>
    <w:rsid w:val="00CD2806"/>
    <w:rsid w:val="00CE1291"/>
    <w:rsid w:val="00CE789D"/>
    <w:rsid w:val="00CF3F03"/>
    <w:rsid w:val="00D014F6"/>
    <w:rsid w:val="00D06190"/>
    <w:rsid w:val="00D22D32"/>
    <w:rsid w:val="00D30809"/>
    <w:rsid w:val="00D5057C"/>
    <w:rsid w:val="00D56152"/>
    <w:rsid w:val="00D61DEB"/>
    <w:rsid w:val="00D67347"/>
    <w:rsid w:val="00D85EDF"/>
    <w:rsid w:val="00D945AF"/>
    <w:rsid w:val="00DA2A33"/>
    <w:rsid w:val="00DD6132"/>
    <w:rsid w:val="00DF3B6B"/>
    <w:rsid w:val="00E03DFB"/>
    <w:rsid w:val="00E35D62"/>
    <w:rsid w:val="00E46AC7"/>
    <w:rsid w:val="00E512CE"/>
    <w:rsid w:val="00E519EA"/>
    <w:rsid w:val="00E63D39"/>
    <w:rsid w:val="00E669D9"/>
    <w:rsid w:val="00E70C0A"/>
    <w:rsid w:val="00E73014"/>
    <w:rsid w:val="00E7790C"/>
    <w:rsid w:val="00E77AD9"/>
    <w:rsid w:val="00E9155C"/>
    <w:rsid w:val="00ED10FA"/>
    <w:rsid w:val="00ED4222"/>
    <w:rsid w:val="00EE42E6"/>
    <w:rsid w:val="00F0103A"/>
    <w:rsid w:val="00F07FEE"/>
    <w:rsid w:val="00F2045C"/>
    <w:rsid w:val="00F20C60"/>
    <w:rsid w:val="00F26FB9"/>
    <w:rsid w:val="00F71F8F"/>
    <w:rsid w:val="00F737E2"/>
    <w:rsid w:val="00F73D17"/>
    <w:rsid w:val="00F93075"/>
    <w:rsid w:val="00F94EBC"/>
    <w:rsid w:val="00FB37BF"/>
    <w:rsid w:val="00FB5A84"/>
    <w:rsid w:val="00FB79CB"/>
    <w:rsid w:val="00FC34CB"/>
    <w:rsid w:val="00FC6EF4"/>
    <w:rsid w:val="00FD7A7F"/>
    <w:rsid w:val="00FE3509"/>
    <w:rsid w:val="00FF3154"/>
    <w:rsid w:val="00FF65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AD2DDD-C5FD-4633-BD94-279F723B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5274C8"/>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ga-IE"/>
    </w:rPr>
  </w:style>
  <w:style w:type="paragraph" w:styleId="Heading2">
    <w:name w:val="heading 2"/>
    <w:basedOn w:val="Normal"/>
    <w:next w:val="Normal"/>
    <w:link w:val="Heading2Char"/>
    <w:uiPriority w:val="9"/>
    <w:unhideWhenUsed/>
    <w:qFormat/>
    <w:rsid w:val="005274C8"/>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val="ga-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4C8"/>
    <w:rPr>
      <w:rFonts w:asciiTheme="majorHAnsi" w:eastAsiaTheme="majorEastAsia" w:hAnsiTheme="majorHAnsi" w:cstheme="majorBidi"/>
      <w:b/>
      <w:bCs/>
      <w:color w:val="2E74B5" w:themeColor="accent1" w:themeShade="BF"/>
      <w:sz w:val="28"/>
      <w:szCs w:val="28"/>
      <w:lang w:val="ga-IE"/>
    </w:rPr>
  </w:style>
  <w:style w:type="character" w:customStyle="1" w:styleId="Heading2Char">
    <w:name w:val="Heading 2 Char"/>
    <w:basedOn w:val="DefaultParagraphFont"/>
    <w:link w:val="Heading2"/>
    <w:uiPriority w:val="9"/>
    <w:rsid w:val="005274C8"/>
    <w:rPr>
      <w:rFonts w:asciiTheme="majorHAnsi" w:eastAsiaTheme="majorEastAsia" w:hAnsiTheme="majorHAnsi" w:cstheme="majorBidi"/>
      <w:b/>
      <w:bCs/>
      <w:color w:val="5B9BD5" w:themeColor="accent1"/>
      <w:sz w:val="26"/>
      <w:szCs w:val="26"/>
      <w:lang w:val="ga-IE"/>
    </w:rPr>
  </w:style>
  <w:style w:type="paragraph" w:styleId="ListParagraph">
    <w:name w:val="List Paragraph"/>
    <w:basedOn w:val="Normal"/>
    <w:uiPriority w:val="34"/>
    <w:qFormat/>
    <w:rsid w:val="00933273"/>
    <w:pPr>
      <w:ind w:left="720"/>
      <w:contextualSpacing/>
    </w:pPr>
  </w:style>
  <w:style w:type="paragraph" w:styleId="BalloonText">
    <w:name w:val="Balloon Text"/>
    <w:basedOn w:val="Normal"/>
    <w:link w:val="BalloonTextChar"/>
    <w:unhideWhenUsed/>
    <w:rsid w:val="00870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870E5E"/>
    <w:rPr>
      <w:rFonts w:ascii="Segoe UI" w:hAnsi="Segoe UI" w:cs="Segoe UI"/>
      <w:sz w:val="18"/>
      <w:szCs w:val="18"/>
    </w:rPr>
  </w:style>
  <w:style w:type="character" w:styleId="Hyperlink">
    <w:name w:val="Hyperlink"/>
    <w:basedOn w:val="DefaultParagraphFont"/>
    <w:uiPriority w:val="99"/>
    <w:unhideWhenUsed/>
    <w:rsid w:val="00EE42E6"/>
    <w:rPr>
      <w:color w:val="0563C1" w:themeColor="hyperlink"/>
      <w:u w:val="single"/>
    </w:rPr>
  </w:style>
  <w:style w:type="table" w:styleId="TableGrid">
    <w:name w:val="Table Grid"/>
    <w:basedOn w:val="TableNormal"/>
    <w:uiPriority w:val="39"/>
    <w:rsid w:val="007D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4145C"/>
    <w:pPr>
      <w:tabs>
        <w:tab w:val="center" w:pos="4513"/>
        <w:tab w:val="right" w:pos="9026"/>
      </w:tabs>
      <w:spacing w:after="0" w:line="240" w:lineRule="auto"/>
    </w:pPr>
  </w:style>
  <w:style w:type="character" w:customStyle="1" w:styleId="HeaderChar">
    <w:name w:val="Header Char"/>
    <w:basedOn w:val="DefaultParagraphFont"/>
    <w:link w:val="Header"/>
    <w:rsid w:val="0084145C"/>
  </w:style>
  <w:style w:type="paragraph" w:styleId="Footer">
    <w:name w:val="footer"/>
    <w:basedOn w:val="Normal"/>
    <w:link w:val="FooterChar"/>
    <w:unhideWhenUsed/>
    <w:rsid w:val="008414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45C"/>
  </w:style>
  <w:style w:type="character" w:customStyle="1" w:styleId="drop-capinner">
    <w:name w:val="drop-cap__inner"/>
    <w:basedOn w:val="DefaultParagraphFont"/>
    <w:rsid w:val="0006636D"/>
  </w:style>
  <w:style w:type="paragraph" w:customStyle="1" w:styleId="Default">
    <w:name w:val="Default"/>
    <w:rsid w:val="0006636D"/>
    <w:pPr>
      <w:autoSpaceDE w:val="0"/>
      <w:autoSpaceDN w:val="0"/>
      <w:adjustRightInd w:val="0"/>
      <w:spacing w:after="0" w:line="240" w:lineRule="auto"/>
    </w:pPr>
    <w:rPr>
      <w:rFonts w:ascii="Calibri" w:hAnsi="Calibri" w:cs="Calibri"/>
      <w:color w:val="000000"/>
      <w:sz w:val="24"/>
      <w:szCs w:val="24"/>
    </w:rPr>
  </w:style>
  <w:style w:type="paragraph" w:styleId="TOCHeading">
    <w:name w:val="TOC Heading"/>
    <w:basedOn w:val="Heading1"/>
    <w:next w:val="Normal"/>
    <w:uiPriority w:val="39"/>
    <w:semiHidden/>
    <w:unhideWhenUsed/>
    <w:qFormat/>
    <w:rsid w:val="005274C8"/>
    <w:pPr>
      <w:outlineLvl w:val="9"/>
    </w:pPr>
    <w:rPr>
      <w:lang w:val="en-US" w:eastAsia="ja-JP"/>
    </w:rPr>
  </w:style>
  <w:style w:type="paragraph" w:styleId="TOC1">
    <w:name w:val="toc 1"/>
    <w:basedOn w:val="Normal"/>
    <w:next w:val="Normal"/>
    <w:autoRedefine/>
    <w:uiPriority w:val="39"/>
    <w:unhideWhenUsed/>
    <w:rsid w:val="005274C8"/>
    <w:pPr>
      <w:spacing w:after="100" w:line="276" w:lineRule="auto"/>
    </w:pPr>
    <w:rPr>
      <w:lang w:val="ga-IE"/>
    </w:rPr>
  </w:style>
  <w:style w:type="paragraph" w:styleId="TOC2">
    <w:name w:val="toc 2"/>
    <w:basedOn w:val="Normal"/>
    <w:next w:val="Normal"/>
    <w:autoRedefine/>
    <w:uiPriority w:val="39"/>
    <w:unhideWhenUsed/>
    <w:rsid w:val="005274C8"/>
    <w:pPr>
      <w:spacing w:after="100" w:line="276" w:lineRule="auto"/>
      <w:ind w:left="220"/>
    </w:pPr>
    <w:rPr>
      <w:lang w:val="ga-IE"/>
    </w:rPr>
  </w:style>
  <w:style w:type="paragraph" w:styleId="Caption">
    <w:name w:val="caption"/>
    <w:basedOn w:val="Normal"/>
    <w:next w:val="Normal"/>
    <w:uiPriority w:val="35"/>
    <w:unhideWhenUsed/>
    <w:qFormat/>
    <w:rsid w:val="005274C8"/>
    <w:pPr>
      <w:spacing w:after="200" w:line="240" w:lineRule="auto"/>
    </w:pPr>
    <w:rPr>
      <w:b/>
      <w:bCs/>
      <w:color w:val="5B9BD5" w:themeColor="accent1"/>
      <w:sz w:val="18"/>
      <w:szCs w:val="18"/>
      <w:lang w:val="ga-IE"/>
    </w:rPr>
  </w:style>
  <w:style w:type="numbering" w:customStyle="1" w:styleId="NoList1">
    <w:name w:val="No List1"/>
    <w:next w:val="NoList"/>
    <w:uiPriority w:val="99"/>
    <w:semiHidden/>
    <w:unhideWhenUsed/>
    <w:rsid w:val="00755A57"/>
  </w:style>
  <w:style w:type="character" w:styleId="PageNumber">
    <w:name w:val="page number"/>
    <w:basedOn w:val="DefaultParagraphFont"/>
    <w:rsid w:val="00755A57"/>
  </w:style>
  <w:style w:type="paragraph" w:styleId="FootnoteText">
    <w:name w:val="footnote text"/>
    <w:basedOn w:val="Normal"/>
    <w:link w:val="FootnoteTextChar"/>
    <w:uiPriority w:val="99"/>
    <w:unhideWhenUsed/>
    <w:rsid w:val="00755A57"/>
    <w:pPr>
      <w:spacing w:after="0" w:line="240" w:lineRule="auto"/>
    </w:pPr>
    <w:rPr>
      <w:rFonts w:ascii="Times New Roman" w:eastAsia="Calibri" w:hAnsi="Times New Roman" w:cs="Times New Roman"/>
      <w:sz w:val="20"/>
      <w:szCs w:val="20"/>
      <w:lang w:val="ga-IE" w:eastAsia="ga-IE"/>
    </w:rPr>
  </w:style>
  <w:style w:type="character" w:customStyle="1" w:styleId="FootnoteTextChar">
    <w:name w:val="Footnote Text Char"/>
    <w:basedOn w:val="DefaultParagraphFont"/>
    <w:link w:val="FootnoteText"/>
    <w:uiPriority w:val="99"/>
    <w:rsid w:val="00755A57"/>
    <w:rPr>
      <w:rFonts w:ascii="Times New Roman" w:eastAsia="Calibri" w:hAnsi="Times New Roman" w:cs="Times New Roman"/>
      <w:sz w:val="20"/>
      <w:szCs w:val="20"/>
      <w:lang w:val="ga-IE" w:eastAsia="ga-IE"/>
    </w:rPr>
  </w:style>
  <w:style w:type="character" w:styleId="FootnoteReference">
    <w:name w:val="footnote reference"/>
    <w:uiPriority w:val="99"/>
    <w:unhideWhenUsed/>
    <w:rsid w:val="00755A57"/>
    <w:rPr>
      <w:vertAlign w:val="superscript"/>
    </w:rPr>
  </w:style>
  <w:style w:type="table" w:customStyle="1" w:styleId="TableGrid1">
    <w:name w:val="Table Grid1"/>
    <w:basedOn w:val="TableNormal"/>
    <w:next w:val="TableGrid"/>
    <w:uiPriority w:val="59"/>
    <w:rsid w:val="00755A57"/>
    <w:pPr>
      <w:spacing w:after="0" w:line="240" w:lineRule="auto"/>
    </w:pPr>
    <w:rPr>
      <w:rFonts w:ascii="Calibri" w:eastAsia="Calibri" w:hAnsi="Calibri" w:cs="Times New Roman"/>
      <w:lang w:val="ga-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755A57"/>
    <w:pPr>
      <w:spacing w:after="100"/>
      <w:ind w:left="440"/>
    </w:pPr>
    <w:rPr>
      <w:rFonts w:ascii="Calibri" w:eastAsia="Times New Roman" w:hAnsi="Calibri" w:cs="Times New Roman"/>
      <w:lang w:eastAsia="en-IE"/>
    </w:rPr>
  </w:style>
  <w:style w:type="paragraph" w:styleId="TOC4">
    <w:name w:val="toc 4"/>
    <w:basedOn w:val="Normal"/>
    <w:next w:val="Normal"/>
    <w:autoRedefine/>
    <w:uiPriority w:val="39"/>
    <w:unhideWhenUsed/>
    <w:rsid w:val="00755A57"/>
    <w:pPr>
      <w:spacing w:after="100"/>
      <w:ind w:left="660"/>
    </w:pPr>
    <w:rPr>
      <w:rFonts w:ascii="Calibri" w:eastAsia="Times New Roman" w:hAnsi="Calibri" w:cs="Times New Roman"/>
      <w:lang w:eastAsia="en-IE"/>
    </w:rPr>
  </w:style>
  <w:style w:type="paragraph" w:styleId="TOC5">
    <w:name w:val="toc 5"/>
    <w:basedOn w:val="Normal"/>
    <w:next w:val="Normal"/>
    <w:autoRedefine/>
    <w:uiPriority w:val="39"/>
    <w:unhideWhenUsed/>
    <w:rsid w:val="00755A57"/>
    <w:pPr>
      <w:spacing w:after="100"/>
      <w:ind w:left="880"/>
    </w:pPr>
    <w:rPr>
      <w:rFonts w:ascii="Calibri" w:eastAsia="Times New Roman" w:hAnsi="Calibri" w:cs="Times New Roman"/>
      <w:lang w:eastAsia="en-IE"/>
    </w:rPr>
  </w:style>
  <w:style w:type="paragraph" w:styleId="TOC6">
    <w:name w:val="toc 6"/>
    <w:basedOn w:val="Normal"/>
    <w:next w:val="Normal"/>
    <w:autoRedefine/>
    <w:uiPriority w:val="39"/>
    <w:unhideWhenUsed/>
    <w:rsid w:val="00755A57"/>
    <w:pPr>
      <w:spacing w:after="100"/>
      <w:ind w:left="1100"/>
    </w:pPr>
    <w:rPr>
      <w:rFonts w:ascii="Calibri" w:eastAsia="Times New Roman" w:hAnsi="Calibri" w:cs="Times New Roman"/>
      <w:lang w:eastAsia="en-IE"/>
    </w:rPr>
  </w:style>
  <w:style w:type="paragraph" w:styleId="TOC7">
    <w:name w:val="toc 7"/>
    <w:basedOn w:val="Normal"/>
    <w:next w:val="Normal"/>
    <w:autoRedefine/>
    <w:uiPriority w:val="39"/>
    <w:unhideWhenUsed/>
    <w:rsid w:val="00755A57"/>
    <w:pPr>
      <w:spacing w:after="100"/>
      <w:ind w:left="1320"/>
    </w:pPr>
    <w:rPr>
      <w:rFonts w:ascii="Calibri" w:eastAsia="Times New Roman" w:hAnsi="Calibri" w:cs="Times New Roman"/>
      <w:lang w:eastAsia="en-IE"/>
    </w:rPr>
  </w:style>
  <w:style w:type="paragraph" w:styleId="TOC8">
    <w:name w:val="toc 8"/>
    <w:basedOn w:val="Normal"/>
    <w:next w:val="Normal"/>
    <w:autoRedefine/>
    <w:uiPriority w:val="39"/>
    <w:unhideWhenUsed/>
    <w:rsid w:val="00755A57"/>
    <w:pPr>
      <w:spacing w:after="100"/>
      <w:ind w:left="1540"/>
    </w:pPr>
    <w:rPr>
      <w:rFonts w:ascii="Calibri" w:eastAsia="Times New Roman" w:hAnsi="Calibri" w:cs="Times New Roman"/>
      <w:lang w:eastAsia="en-IE"/>
    </w:rPr>
  </w:style>
  <w:style w:type="paragraph" w:styleId="TOC9">
    <w:name w:val="toc 9"/>
    <w:basedOn w:val="Normal"/>
    <w:next w:val="Normal"/>
    <w:autoRedefine/>
    <w:uiPriority w:val="39"/>
    <w:unhideWhenUsed/>
    <w:rsid w:val="00755A57"/>
    <w:pPr>
      <w:spacing w:after="100"/>
      <w:ind w:left="1760"/>
    </w:pPr>
    <w:rPr>
      <w:rFonts w:ascii="Calibri" w:eastAsia="Times New Roman" w:hAnsi="Calibri" w:cs="Times New Roman"/>
      <w:lang w:eastAsia="en-IE"/>
    </w:rPr>
  </w:style>
  <w:style w:type="paragraph" w:styleId="NormalWeb">
    <w:name w:val="Normal (Web)"/>
    <w:basedOn w:val="Normal"/>
    <w:uiPriority w:val="99"/>
    <w:semiHidden/>
    <w:unhideWhenUsed/>
    <w:rsid w:val="006928E9"/>
    <w:pPr>
      <w:spacing w:after="150"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482603">
      <w:bodyDiv w:val="1"/>
      <w:marLeft w:val="0"/>
      <w:marRight w:val="0"/>
      <w:marTop w:val="0"/>
      <w:marBottom w:val="0"/>
      <w:divBdr>
        <w:top w:val="none" w:sz="0" w:space="0" w:color="auto"/>
        <w:left w:val="none" w:sz="0" w:space="0" w:color="auto"/>
        <w:bottom w:val="none" w:sz="0" w:space="0" w:color="auto"/>
        <w:right w:val="none" w:sz="0" w:space="0" w:color="auto"/>
      </w:divBdr>
      <w:divsChild>
        <w:div w:id="657272126">
          <w:marLeft w:val="0"/>
          <w:marRight w:val="0"/>
          <w:marTop w:val="0"/>
          <w:marBottom w:val="450"/>
          <w:divBdr>
            <w:top w:val="none" w:sz="0" w:space="0" w:color="auto"/>
            <w:left w:val="none" w:sz="0" w:space="0" w:color="auto"/>
            <w:bottom w:val="none" w:sz="0" w:space="0" w:color="auto"/>
            <w:right w:val="none" w:sz="0" w:space="0" w:color="auto"/>
          </w:divBdr>
          <w:divsChild>
            <w:div w:id="1292590034">
              <w:marLeft w:val="0"/>
              <w:marRight w:val="0"/>
              <w:marTop w:val="0"/>
              <w:marBottom w:val="0"/>
              <w:divBdr>
                <w:top w:val="none" w:sz="0" w:space="0" w:color="auto"/>
                <w:left w:val="none" w:sz="0" w:space="0" w:color="auto"/>
                <w:bottom w:val="none" w:sz="0" w:space="0" w:color="auto"/>
                <w:right w:val="none" w:sz="0" w:space="0" w:color="auto"/>
              </w:divBdr>
              <w:divsChild>
                <w:div w:id="1150829368">
                  <w:marLeft w:val="-225"/>
                  <w:marRight w:val="-225"/>
                  <w:marTop w:val="0"/>
                  <w:marBottom w:val="0"/>
                  <w:divBdr>
                    <w:top w:val="none" w:sz="0" w:space="0" w:color="auto"/>
                    <w:left w:val="none" w:sz="0" w:space="0" w:color="auto"/>
                    <w:bottom w:val="none" w:sz="0" w:space="0" w:color="auto"/>
                    <w:right w:val="none" w:sz="0" w:space="0" w:color="auto"/>
                  </w:divBdr>
                  <w:divsChild>
                    <w:div w:id="955529065">
                      <w:marLeft w:val="0"/>
                      <w:marRight w:val="0"/>
                      <w:marTop w:val="0"/>
                      <w:marBottom w:val="0"/>
                      <w:divBdr>
                        <w:top w:val="none" w:sz="0" w:space="0" w:color="auto"/>
                        <w:left w:val="none" w:sz="0" w:space="0" w:color="auto"/>
                        <w:bottom w:val="none" w:sz="0" w:space="0" w:color="auto"/>
                        <w:right w:val="none" w:sz="0" w:space="0" w:color="auto"/>
                      </w:divBdr>
                      <w:divsChild>
                        <w:div w:id="124398369">
                          <w:marLeft w:val="0"/>
                          <w:marRight w:val="0"/>
                          <w:marTop w:val="0"/>
                          <w:marBottom w:val="0"/>
                          <w:divBdr>
                            <w:top w:val="none" w:sz="0" w:space="0" w:color="auto"/>
                            <w:left w:val="none" w:sz="0" w:space="0" w:color="auto"/>
                            <w:bottom w:val="none" w:sz="0" w:space="0" w:color="auto"/>
                            <w:right w:val="none" w:sz="0" w:space="0" w:color="auto"/>
                          </w:divBdr>
                          <w:divsChild>
                            <w:div w:id="964895777">
                              <w:marLeft w:val="-225"/>
                              <w:marRight w:val="-225"/>
                              <w:marTop w:val="0"/>
                              <w:marBottom w:val="0"/>
                              <w:divBdr>
                                <w:top w:val="none" w:sz="0" w:space="0" w:color="auto"/>
                                <w:left w:val="none" w:sz="0" w:space="0" w:color="auto"/>
                                <w:bottom w:val="none" w:sz="0" w:space="0" w:color="auto"/>
                                <w:right w:val="none" w:sz="0" w:space="0" w:color="auto"/>
                              </w:divBdr>
                              <w:divsChild>
                                <w:div w:id="1166088735">
                                  <w:marLeft w:val="0"/>
                                  <w:marRight w:val="0"/>
                                  <w:marTop w:val="0"/>
                                  <w:marBottom w:val="0"/>
                                  <w:divBdr>
                                    <w:top w:val="none" w:sz="0" w:space="0" w:color="auto"/>
                                    <w:left w:val="none" w:sz="0" w:space="0" w:color="auto"/>
                                    <w:bottom w:val="none" w:sz="0" w:space="0" w:color="auto"/>
                                    <w:right w:val="none" w:sz="0" w:space="0" w:color="auto"/>
                                  </w:divBdr>
                                  <w:divsChild>
                                    <w:div w:id="914702779">
                                      <w:marLeft w:val="0"/>
                                      <w:marRight w:val="0"/>
                                      <w:marTop w:val="0"/>
                                      <w:marBottom w:val="0"/>
                                      <w:divBdr>
                                        <w:top w:val="none" w:sz="0" w:space="0" w:color="auto"/>
                                        <w:left w:val="none" w:sz="0" w:space="0" w:color="auto"/>
                                        <w:bottom w:val="none" w:sz="0" w:space="0" w:color="auto"/>
                                        <w:right w:val="none" w:sz="0" w:space="0" w:color="auto"/>
                                      </w:divBdr>
                                      <w:divsChild>
                                        <w:div w:id="176731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8788747">
      <w:bodyDiv w:val="1"/>
      <w:marLeft w:val="0"/>
      <w:marRight w:val="0"/>
      <w:marTop w:val="0"/>
      <w:marBottom w:val="0"/>
      <w:divBdr>
        <w:top w:val="none" w:sz="0" w:space="0" w:color="auto"/>
        <w:left w:val="none" w:sz="0" w:space="0" w:color="auto"/>
        <w:bottom w:val="none" w:sz="0" w:space="0" w:color="auto"/>
        <w:right w:val="none" w:sz="0" w:space="0" w:color="auto"/>
      </w:divBdr>
      <w:divsChild>
        <w:div w:id="873544350">
          <w:marLeft w:val="0"/>
          <w:marRight w:val="0"/>
          <w:marTop w:val="0"/>
          <w:marBottom w:val="450"/>
          <w:divBdr>
            <w:top w:val="none" w:sz="0" w:space="0" w:color="auto"/>
            <w:left w:val="none" w:sz="0" w:space="0" w:color="auto"/>
            <w:bottom w:val="none" w:sz="0" w:space="0" w:color="auto"/>
            <w:right w:val="none" w:sz="0" w:space="0" w:color="auto"/>
          </w:divBdr>
          <w:divsChild>
            <w:div w:id="538666873">
              <w:marLeft w:val="0"/>
              <w:marRight w:val="0"/>
              <w:marTop w:val="0"/>
              <w:marBottom w:val="0"/>
              <w:divBdr>
                <w:top w:val="none" w:sz="0" w:space="0" w:color="auto"/>
                <w:left w:val="none" w:sz="0" w:space="0" w:color="auto"/>
                <w:bottom w:val="none" w:sz="0" w:space="0" w:color="auto"/>
                <w:right w:val="none" w:sz="0" w:space="0" w:color="auto"/>
              </w:divBdr>
              <w:divsChild>
                <w:div w:id="734158852">
                  <w:marLeft w:val="-225"/>
                  <w:marRight w:val="-225"/>
                  <w:marTop w:val="0"/>
                  <w:marBottom w:val="0"/>
                  <w:divBdr>
                    <w:top w:val="none" w:sz="0" w:space="0" w:color="auto"/>
                    <w:left w:val="none" w:sz="0" w:space="0" w:color="auto"/>
                    <w:bottom w:val="none" w:sz="0" w:space="0" w:color="auto"/>
                    <w:right w:val="none" w:sz="0" w:space="0" w:color="auto"/>
                  </w:divBdr>
                  <w:divsChild>
                    <w:div w:id="30763026">
                      <w:marLeft w:val="0"/>
                      <w:marRight w:val="0"/>
                      <w:marTop w:val="0"/>
                      <w:marBottom w:val="0"/>
                      <w:divBdr>
                        <w:top w:val="none" w:sz="0" w:space="0" w:color="auto"/>
                        <w:left w:val="none" w:sz="0" w:space="0" w:color="auto"/>
                        <w:bottom w:val="none" w:sz="0" w:space="0" w:color="auto"/>
                        <w:right w:val="none" w:sz="0" w:space="0" w:color="auto"/>
                      </w:divBdr>
                      <w:divsChild>
                        <w:div w:id="1074158064">
                          <w:marLeft w:val="0"/>
                          <w:marRight w:val="0"/>
                          <w:marTop w:val="0"/>
                          <w:marBottom w:val="0"/>
                          <w:divBdr>
                            <w:top w:val="none" w:sz="0" w:space="0" w:color="auto"/>
                            <w:left w:val="none" w:sz="0" w:space="0" w:color="auto"/>
                            <w:bottom w:val="none" w:sz="0" w:space="0" w:color="auto"/>
                            <w:right w:val="none" w:sz="0" w:space="0" w:color="auto"/>
                          </w:divBdr>
                          <w:divsChild>
                            <w:div w:id="1927423197">
                              <w:marLeft w:val="-225"/>
                              <w:marRight w:val="-225"/>
                              <w:marTop w:val="0"/>
                              <w:marBottom w:val="0"/>
                              <w:divBdr>
                                <w:top w:val="none" w:sz="0" w:space="0" w:color="auto"/>
                                <w:left w:val="none" w:sz="0" w:space="0" w:color="auto"/>
                                <w:bottom w:val="none" w:sz="0" w:space="0" w:color="auto"/>
                                <w:right w:val="none" w:sz="0" w:space="0" w:color="auto"/>
                              </w:divBdr>
                              <w:divsChild>
                                <w:div w:id="1763911806">
                                  <w:marLeft w:val="0"/>
                                  <w:marRight w:val="0"/>
                                  <w:marTop w:val="0"/>
                                  <w:marBottom w:val="0"/>
                                  <w:divBdr>
                                    <w:top w:val="none" w:sz="0" w:space="0" w:color="auto"/>
                                    <w:left w:val="none" w:sz="0" w:space="0" w:color="auto"/>
                                    <w:bottom w:val="none" w:sz="0" w:space="0" w:color="auto"/>
                                    <w:right w:val="none" w:sz="0" w:space="0" w:color="auto"/>
                                  </w:divBdr>
                                  <w:divsChild>
                                    <w:div w:id="1521697783">
                                      <w:marLeft w:val="0"/>
                                      <w:marRight w:val="0"/>
                                      <w:marTop w:val="0"/>
                                      <w:marBottom w:val="0"/>
                                      <w:divBdr>
                                        <w:top w:val="none" w:sz="0" w:space="0" w:color="auto"/>
                                        <w:left w:val="none" w:sz="0" w:space="0" w:color="auto"/>
                                        <w:bottom w:val="none" w:sz="0" w:space="0" w:color="auto"/>
                                        <w:right w:val="none" w:sz="0" w:space="0" w:color="auto"/>
                                      </w:divBdr>
                                      <w:divsChild>
                                        <w:div w:id="212364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8104178">
      <w:bodyDiv w:val="1"/>
      <w:marLeft w:val="0"/>
      <w:marRight w:val="0"/>
      <w:marTop w:val="0"/>
      <w:marBottom w:val="0"/>
      <w:divBdr>
        <w:top w:val="none" w:sz="0" w:space="0" w:color="auto"/>
        <w:left w:val="none" w:sz="0" w:space="0" w:color="auto"/>
        <w:bottom w:val="none" w:sz="0" w:space="0" w:color="auto"/>
        <w:right w:val="none" w:sz="0" w:space="0" w:color="auto"/>
      </w:divBdr>
    </w:div>
    <w:div w:id="1882210627">
      <w:bodyDiv w:val="1"/>
      <w:marLeft w:val="0"/>
      <w:marRight w:val="0"/>
      <w:marTop w:val="0"/>
      <w:marBottom w:val="0"/>
      <w:divBdr>
        <w:top w:val="none" w:sz="0" w:space="0" w:color="auto"/>
        <w:left w:val="none" w:sz="0" w:space="0" w:color="auto"/>
        <w:bottom w:val="none" w:sz="0" w:space="0" w:color="auto"/>
        <w:right w:val="none" w:sz="0" w:space="0" w:color="auto"/>
      </w:divBdr>
      <w:divsChild>
        <w:div w:id="971591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uffy@tui.i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3680</Words>
  <Characters>20979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cgriffin</cp:lastModifiedBy>
  <cp:revision>2</cp:revision>
  <cp:lastPrinted>2018-12-05T11:08:00Z</cp:lastPrinted>
  <dcterms:created xsi:type="dcterms:W3CDTF">2018-12-14T11:32:00Z</dcterms:created>
  <dcterms:modified xsi:type="dcterms:W3CDTF">2018-12-14T11:32:00Z</dcterms:modified>
</cp:coreProperties>
</file>