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DE7DB5" w:rsidRDefault="00A12494" w:rsidP="004736C8">
      <w:pPr>
        <w:spacing w:after="0" w:line="360" w:lineRule="auto"/>
        <w:jc w:val="center"/>
        <w:rPr>
          <w:b/>
          <w:sz w:val="28"/>
          <w:szCs w:val="28"/>
        </w:rPr>
      </w:pPr>
      <w:r w:rsidRPr="00DE7DB5">
        <w:rPr>
          <w:b/>
          <w:sz w:val="28"/>
          <w:szCs w:val="28"/>
        </w:rPr>
        <w:t>Teachers’ Union of Ireland</w:t>
      </w:r>
    </w:p>
    <w:p w14:paraId="7ABFB964" w14:textId="2932C4DB" w:rsidR="00A12494" w:rsidRPr="00DE7DB5" w:rsidRDefault="00B01995" w:rsidP="004736C8">
      <w:pPr>
        <w:spacing w:after="0" w:line="360" w:lineRule="auto"/>
        <w:jc w:val="center"/>
        <w:rPr>
          <w:b/>
          <w:sz w:val="28"/>
          <w:szCs w:val="28"/>
        </w:rPr>
      </w:pPr>
      <w:r w:rsidRPr="00DE7DB5">
        <w:rPr>
          <w:b/>
          <w:sz w:val="28"/>
          <w:szCs w:val="28"/>
        </w:rPr>
        <w:t>Submission to Joint Oireachtas Committee on</w:t>
      </w:r>
      <w:bookmarkStart w:id="0" w:name="_GoBack"/>
      <w:bookmarkEnd w:id="0"/>
      <w:r w:rsidRPr="00DE7DB5">
        <w:rPr>
          <w:b/>
          <w:sz w:val="28"/>
          <w:szCs w:val="28"/>
        </w:rPr>
        <w:t xml:space="preserve"> Education and Skills</w:t>
      </w:r>
      <w:r w:rsidR="0031492A" w:rsidRPr="00DE7DB5">
        <w:rPr>
          <w:b/>
          <w:sz w:val="28"/>
          <w:szCs w:val="28"/>
        </w:rPr>
        <w:t xml:space="preserve"> </w:t>
      </w:r>
      <w:r w:rsidRPr="00DE7DB5">
        <w:rPr>
          <w:b/>
          <w:sz w:val="28"/>
          <w:szCs w:val="28"/>
        </w:rPr>
        <w:t xml:space="preserve">regarding </w:t>
      </w:r>
      <w:r w:rsidR="00A21BD2" w:rsidRPr="00DE7DB5">
        <w:rPr>
          <w:rFonts w:eastAsia="Calibri" w:cs="Tahoma"/>
          <w:sz w:val="28"/>
          <w:szCs w:val="28"/>
        </w:rPr>
        <w:t>‘</w:t>
      </w:r>
      <w:bookmarkStart w:id="1" w:name="_Hlk519864571"/>
      <w:r w:rsidR="00BA3CEF" w:rsidRPr="00DE7DB5">
        <w:rPr>
          <w:rFonts w:eastAsia="Calibri" w:cs="Tahoma"/>
          <w:b/>
          <w:sz w:val="28"/>
          <w:szCs w:val="28"/>
        </w:rPr>
        <w:t xml:space="preserve">the </w:t>
      </w:r>
      <w:r w:rsidR="009C794E" w:rsidRPr="00DE7DB5">
        <w:rPr>
          <w:rFonts w:eastAsia="Calibri" w:cs="Tahoma"/>
          <w:b/>
          <w:sz w:val="28"/>
          <w:szCs w:val="28"/>
        </w:rPr>
        <w:t>school building programme</w:t>
      </w:r>
      <w:bookmarkEnd w:id="1"/>
      <w:r w:rsidR="00A21BD2" w:rsidRPr="00DE7DB5">
        <w:rPr>
          <w:rFonts w:eastAsia="Calibri" w:cs="Tahoma"/>
          <w:b/>
          <w:sz w:val="28"/>
          <w:szCs w:val="28"/>
        </w:rPr>
        <w:t>’</w:t>
      </w:r>
      <w:r w:rsidR="00A21BD2" w:rsidRPr="00DE7DB5">
        <w:rPr>
          <w:b/>
          <w:sz w:val="28"/>
          <w:szCs w:val="28"/>
        </w:rPr>
        <w:t xml:space="preserve"> </w:t>
      </w:r>
      <w:r w:rsidR="00A12494" w:rsidRPr="00DE7DB5">
        <w:rPr>
          <w:b/>
          <w:sz w:val="28"/>
          <w:szCs w:val="28"/>
        </w:rPr>
        <w:t>(</w:t>
      </w:r>
      <w:r w:rsidR="009C794E" w:rsidRPr="00DE7DB5">
        <w:rPr>
          <w:b/>
          <w:sz w:val="28"/>
          <w:szCs w:val="28"/>
        </w:rPr>
        <w:t>August</w:t>
      </w:r>
      <w:r w:rsidR="00A21BD2" w:rsidRPr="00DE7DB5">
        <w:rPr>
          <w:b/>
          <w:sz w:val="28"/>
          <w:szCs w:val="28"/>
        </w:rPr>
        <w:t xml:space="preserve"> 2018</w:t>
      </w:r>
      <w:r w:rsidR="00A12494" w:rsidRPr="00DE7DB5">
        <w:rPr>
          <w:b/>
          <w:sz w:val="28"/>
          <w:szCs w:val="28"/>
        </w:rPr>
        <w:t>)</w:t>
      </w:r>
    </w:p>
    <w:p w14:paraId="28383CC5" w14:textId="77777777" w:rsidR="007A5F18" w:rsidRPr="00DE7DB5" w:rsidRDefault="007A5F18" w:rsidP="00384E4F">
      <w:pPr>
        <w:spacing w:after="0" w:line="360" w:lineRule="auto"/>
        <w:jc w:val="both"/>
        <w:rPr>
          <w:b/>
          <w:sz w:val="28"/>
          <w:szCs w:val="28"/>
        </w:rPr>
      </w:pPr>
    </w:p>
    <w:p w14:paraId="6DFC8EA0" w14:textId="77777777" w:rsidR="00167086" w:rsidRPr="00C3579A" w:rsidRDefault="00AC32F0" w:rsidP="00E13D21">
      <w:pPr>
        <w:spacing w:after="0" w:line="360" w:lineRule="auto"/>
        <w:jc w:val="both"/>
        <w:rPr>
          <w:b/>
          <w:sz w:val="28"/>
          <w:szCs w:val="28"/>
          <w:u w:val="single"/>
        </w:rPr>
      </w:pPr>
      <w:r w:rsidRPr="00C3579A">
        <w:rPr>
          <w:b/>
          <w:sz w:val="28"/>
          <w:szCs w:val="28"/>
          <w:u w:val="single"/>
        </w:rPr>
        <w:t>Introduction</w:t>
      </w:r>
    </w:p>
    <w:p w14:paraId="28E88767" w14:textId="6757CEDF" w:rsidR="00AC32F0" w:rsidRPr="00E13D21" w:rsidRDefault="00CB06D8" w:rsidP="00E13D21">
      <w:pPr>
        <w:spacing w:after="0" w:line="360" w:lineRule="auto"/>
        <w:jc w:val="both"/>
        <w:rPr>
          <w:rFonts w:eastAsiaTheme="majorEastAsia" w:cstheme="majorBidi"/>
          <w:b/>
          <w:bCs/>
          <w:sz w:val="24"/>
          <w:szCs w:val="24"/>
        </w:rPr>
      </w:pPr>
      <w:r>
        <w:rPr>
          <w:rFonts w:eastAsiaTheme="majorEastAsia" w:cstheme="majorBidi"/>
          <w:bCs/>
          <w:sz w:val="24"/>
          <w:szCs w:val="24"/>
        </w:rPr>
        <w:t xml:space="preserve">The </w:t>
      </w:r>
      <w:r w:rsidR="00AC32F0" w:rsidRPr="00E13D21">
        <w:rPr>
          <w:rFonts w:eastAsiaTheme="majorEastAsia" w:cstheme="majorBidi"/>
          <w:bCs/>
          <w:sz w:val="24"/>
          <w:szCs w:val="24"/>
        </w:rPr>
        <w:t>TUI repre</w:t>
      </w:r>
      <w:r w:rsidR="001C40D8">
        <w:rPr>
          <w:rFonts w:eastAsiaTheme="majorEastAsia" w:cstheme="majorBidi"/>
          <w:bCs/>
          <w:sz w:val="24"/>
          <w:szCs w:val="24"/>
        </w:rPr>
        <w:t>sents teachers and lecturers (17</w:t>
      </w:r>
      <w:r w:rsidR="00AC32F0" w:rsidRPr="00E13D21">
        <w:rPr>
          <w:rFonts w:eastAsiaTheme="majorEastAsia" w:cstheme="majorBidi"/>
          <w:bCs/>
          <w:sz w:val="24"/>
          <w:szCs w:val="24"/>
        </w:rPr>
        <w:t xml:space="preserve">,000+) employed by Education and Training Boards (ETBs), voluntary secondary schools, Community and Comprehensive (C&amp;C) schools and the institutes of technology. </w:t>
      </w:r>
    </w:p>
    <w:p w14:paraId="160DDB91" w14:textId="77777777" w:rsidR="00231D02" w:rsidRPr="00E13D21" w:rsidRDefault="00231D02" w:rsidP="00E13D21">
      <w:pPr>
        <w:spacing w:after="0" w:line="360" w:lineRule="auto"/>
        <w:jc w:val="both"/>
        <w:rPr>
          <w:sz w:val="24"/>
          <w:szCs w:val="24"/>
        </w:rPr>
      </w:pPr>
    </w:p>
    <w:p w14:paraId="5DA34DBC" w14:textId="4A93551D" w:rsidR="008516BA" w:rsidRPr="00E13D21" w:rsidRDefault="004F1A3F" w:rsidP="00E13D21">
      <w:pPr>
        <w:spacing w:after="0" w:line="360" w:lineRule="auto"/>
        <w:jc w:val="both"/>
        <w:rPr>
          <w:sz w:val="24"/>
          <w:szCs w:val="24"/>
        </w:rPr>
      </w:pPr>
      <w:r w:rsidRPr="00E13D21">
        <w:rPr>
          <w:sz w:val="24"/>
          <w:szCs w:val="24"/>
        </w:rPr>
        <w:t>The TUI welcomes this opportunity to</w:t>
      </w:r>
      <w:r w:rsidR="00EC30FD" w:rsidRPr="00E13D21">
        <w:rPr>
          <w:sz w:val="24"/>
          <w:szCs w:val="24"/>
        </w:rPr>
        <w:t xml:space="preserve"> </w:t>
      </w:r>
      <w:r w:rsidR="00A21BD2" w:rsidRPr="00E13D21">
        <w:rPr>
          <w:sz w:val="24"/>
          <w:szCs w:val="24"/>
        </w:rPr>
        <w:t>make a submission to</w:t>
      </w:r>
      <w:r w:rsidRPr="00E13D21">
        <w:rPr>
          <w:sz w:val="24"/>
          <w:szCs w:val="24"/>
        </w:rPr>
        <w:t xml:space="preserve"> </w:t>
      </w:r>
      <w:r w:rsidR="00EC30FD" w:rsidRPr="00E13D21">
        <w:rPr>
          <w:sz w:val="24"/>
          <w:szCs w:val="24"/>
        </w:rPr>
        <w:t>the Committee in relation to</w:t>
      </w:r>
      <w:r w:rsidRPr="00E13D21">
        <w:rPr>
          <w:sz w:val="24"/>
          <w:szCs w:val="24"/>
        </w:rPr>
        <w:t xml:space="preserve"> </w:t>
      </w:r>
      <w:r w:rsidR="00A21BD2" w:rsidRPr="00E13D21">
        <w:rPr>
          <w:rFonts w:eastAsia="Calibri" w:cs="Tahoma"/>
          <w:sz w:val="24"/>
          <w:szCs w:val="24"/>
        </w:rPr>
        <w:t>‘</w:t>
      </w:r>
      <w:r w:rsidR="009C794E" w:rsidRPr="00E13D21">
        <w:rPr>
          <w:rFonts w:eastAsia="Calibri" w:cs="Tahoma"/>
          <w:b/>
          <w:sz w:val="24"/>
          <w:szCs w:val="24"/>
        </w:rPr>
        <w:t>the school building programme</w:t>
      </w:r>
      <w:r w:rsidR="00BA3CEF" w:rsidRPr="00E13D21">
        <w:rPr>
          <w:rFonts w:eastAsia="Calibri" w:cs="Tahoma"/>
          <w:b/>
          <w:sz w:val="24"/>
          <w:szCs w:val="24"/>
        </w:rPr>
        <w:t>.</w:t>
      </w:r>
      <w:r w:rsidR="00A21BD2" w:rsidRPr="00E13D21">
        <w:rPr>
          <w:sz w:val="24"/>
          <w:szCs w:val="24"/>
        </w:rPr>
        <w:t xml:space="preserve">  </w:t>
      </w:r>
    </w:p>
    <w:p w14:paraId="29438C5D" w14:textId="7A934C51" w:rsidR="00BA3CEF" w:rsidRPr="00E13D21" w:rsidRDefault="00BA3CEF" w:rsidP="00E13D21">
      <w:pPr>
        <w:spacing w:after="0" w:line="360" w:lineRule="auto"/>
        <w:jc w:val="both"/>
        <w:rPr>
          <w:rFonts w:eastAsiaTheme="majorEastAsia" w:cstheme="majorBidi"/>
          <w:bCs/>
          <w:sz w:val="24"/>
          <w:szCs w:val="24"/>
        </w:rPr>
      </w:pPr>
    </w:p>
    <w:p w14:paraId="7FE3B655" w14:textId="70FDFB15" w:rsidR="00BA3CEF" w:rsidRPr="00C3579A" w:rsidRDefault="00BA3CEF" w:rsidP="00E13D21">
      <w:pPr>
        <w:spacing w:after="0" w:line="360" w:lineRule="auto"/>
        <w:jc w:val="both"/>
        <w:rPr>
          <w:rFonts w:eastAsiaTheme="majorEastAsia" w:cstheme="majorBidi"/>
          <w:b/>
          <w:bCs/>
          <w:sz w:val="28"/>
          <w:szCs w:val="28"/>
          <w:u w:val="single"/>
        </w:rPr>
      </w:pPr>
      <w:r w:rsidRPr="00C3579A">
        <w:rPr>
          <w:rFonts w:eastAsiaTheme="majorEastAsia" w:cstheme="majorBidi"/>
          <w:b/>
          <w:bCs/>
          <w:sz w:val="28"/>
          <w:szCs w:val="28"/>
          <w:u w:val="single"/>
        </w:rPr>
        <w:t>Background</w:t>
      </w:r>
    </w:p>
    <w:p w14:paraId="3E08FEE5" w14:textId="6E20D227" w:rsidR="00DD2118" w:rsidRPr="00E13D21" w:rsidRDefault="00DD2118" w:rsidP="00E13D21">
      <w:pPr>
        <w:autoSpaceDE w:val="0"/>
        <w:autoSpaceDN w:val="0"/>
        <w:adjustRightInd w:val="0"/>
        <w:spacing w:after="0" w:line="360" w:lineRule="auto"/>
        <w:jc w:val="both"/>
        <w:rPr>
          <w:rFonts w:eastAsiaTheme="majorEastAsia" w:cstheme="majorBidi"/>
          <w:bCs/>
          <w:sz w:val="24"/>
          <w:szCs w:val="24"/>
        </w:rPr>
      </w:pPr>
      <w:r w:rsidRPr="00E13D21">
        <w:rPr>
          <w:rFonts w:eastAsiaTheme="majorEastAsia" w:cstheme="majorBidi"/>
          <w:bCs/>
          <w:sz w:val="24"/>
          <w:szCs w:val="24"/>
        </w:rPr>
        <w:t>Ireland has an internationally acknowledged, high-</w:t>
      </w:r>
      <w:bookmarkStart w:id="2" w:name="_Hlk502824748"/>
      <w:r w:rsidRPr="00E13D21">
        <w:rPr>
          <w:rFonts w:eastAsiaTheme="majorEastAsia" w:cstheme="majorBidi"/>
          <w:bCs/>
          <w:sz w:val="24"/>
          <w:szCs w:val="24"/>
        </w:rPr>
        <w:t xml:space="preserve">performing education system (Teaching Council, 2010; OECD, 2013; DES, 2018; </w:t>
      </w:r>
      <w:r w:rsidR="00E952F4" w:rsidRPr="00E13D21">
        <w:rPr>
          <w:rFonts w:eastAsiaTheme="majorEastAsia" w:cstheme="majorBidi"/>
          <w:bCs/>
          <w:sz w:val="24"/>
          <w:szCs w:val="24"/>
        </w:rPr>
        <w:t xml:space="preserve">OECD, 2015a; </w:t>
      </w:r>
      <w:r w:rsidRPr="00E13D21">
        <w:rPr>
          <w:rFonts w:eastAsiaTheme="majorEastAsia" w:cstheme="majorBidi"/>
          <w:bCs/>
          <w:sz w:val="24"/>
          <w:szCs w:val="24"/>
        </w:rPr>
        <w:t>OECD, 2009; NAPD, 2016; Comhairle na nOg, 2017, Growing Up in Ireland, 2017, IPSOS MRBI Trust in the Professions Survey, 2017; Boyle, 2017</w:t>
      </w:r>
      <w:r w:rsidR="00CC447F" w:rsidRPr="00E13D21">
        <w:rPr>
          <w:rFonts w:eastAsiaTheme="majorEastAsia" w:cstheme="majorBidi"/>
          <w:bCs/>
          <w:sz w:val="24"/>
          <w:szCs w:val="24"/>
        </w:rPr>
        <w:t>, Scanlon &amp; McKenna, 2018</w:t>
      </w:r>
      <w:r w:rsidR="00AB4A4D" w:rsidRPr="00E13D21">
        <w:rPr>
          <w:rFonts w:eastAsiaTheme="majorEastAsia" w:cstheme="majorBidi"/>
          <w:bCs/>
          <w:sz w:val="24"/>
          <w:szCs w:val="24"/>
        </w:rPr>
        <w:t>;</w:t>
      </w:r>
      <w:r w:rsidR="00AB4A4D" w:rsidRPr="00E13D21">
        <w:rPr>
          <w:rFonts w:eastAsia="BrandonGrotesque-Regular" w:cs="Arial"/>
          <w:sz w:val="24"/>
          <w:szCs w:val="24"/>
        </w:rPr>
        <w:t xml:space="preserve"> EU Commission/EACEA/Eurydice, 2018</w:t>
      </w:r>
      <w:r w:rsidRPr="00E13D21">
        <w:rPr>
          <w:rFonts w:eastAsiaTheme="majorEastAsia" w:cstheme="majorBidi"/>
          <w:bCs/>
          <w:sz w:val="24"/>
          <w:szCs w:val="24"/>
        </w:rPr>
        <w:t>) despite spending relatively little on education (OECD, 2015</w:t>
      </w:r>
      <w:bookmarkEnd w:id="2"/>
      <w:r w:rsidR="00E952F4" w:rsidRPr="00E13D21">
        <w:rPr>
          <w:rFonts w:eastAsiaTheme="majorEastAsia" w:cstheme="majorBidi"/>
          <w:bCs/>
          <w:sz w:val="24"/>
          <w:szCs w:val="24"/>
        </w:rPr>
        <w:t>b; SJI, 2018</w:t>
      </w:r>
      <w:r w:rsidR="004F4FDD">
        <w:rPr>
          <w:rFonts w:eastAsiaTheme="majorEastAsia" w:cstheme="majorBidi"/>
          <w:bCs/>
          <w:sz w:val="24"/>
          <w:szCs w:val="24"/>
        </w:rPr>
        <w:t>; NERI, 2018</w:t>
      </w:r>
      <w:r w:rsidRPr="00E13D21">
        <w:rPr>
          <w:rFonts w:eastAsiaTheme="majorEastAsia" w:cstheme="majorBidi"/>
          <w:bCs/>
          <w:sz w:val="24"/>
          <w:szCs w:val="24"/>
        </w:rPr>
        <w:t>).</w:t>
      </w:r>
      <w:r w:rsidR="00072A73" w:rsidRPr="00E13D21">
        <w:rPr>
          <w:rFonts w:eastAsiaTheme="majorEastAsia" w:cstheme="majorBidi"/>
          <w:bCs/>
          <w:sz w:val="24"/>
          <w:szCs w:val="24"/>
        </w:rPr>
        <w:t xml:space="preserve"> The rapidl</w:t>
      </w:r>
      <w:r w:rsidR="007B5316">
        <w:rPr>
          <w:rFonts w:eastAsiaTheme="majorEastAsia" w:cstheme="majorBidi"/>
          <w:bCs/>
          <w:sz w:val="24"/>
          <w:szCs w:val="24"/>
        </w:rPr>
        <w:t xml:space="preserve">y improving economic situation </w:t>
      </w:r>
      <w:r w:rsidR="007B5316">
        <w:rPr>
          <w:rFonts w:cs="Arial"/>
          <w:sz w:val="24"/>
          <w:szCs w:val="24"/>
        </w:rPr>
        <w:t>(OECD, 2017</w:t>
      </w:r>
      <w:r w:rsidR="007B5316" w:rsidRPr="00E13D21">
        <w:rPr>
          <w:rFonts w:cs="Arial"/>
          <w:sz w:val="24"/>
          <w:szCs w:val="24"/>
        </w:rPr>
        <w:t>; ESRI, 2018; Central Bank, 2018; EY, 2018; IMF, 2017; EU Commission 2017</w:t>
      </w:r>
      <w:r w:rsidR="004F4FDD">
        <w:rPr>
          <w:rFonts w:cs="Arial"/>
          <w:sz w:val="24"/>
          <w:szCs w:val="24"/>
        </w:rPr>
        <w:t>; NERI, 2018</w:t>
      </w:r>
      <w:r w:rsidR="007B5316" w:rsidRPr="00E13D21">
        <w:rPr>
          <w:rFonts w:cs="Arial"/>
          <w:sz w:val="24"/>
          <w:szCs w:val="24"/>
        </w:rPr>
        <w:t>)</w:t>
      </w:r>
      <w:r w:rsidR="00072A73" w:rsidRPr="00E13D21">
        <w:rPr>
          <w:rFonts w:eastAsiaTheme="majorEastAsia" w:cstheme="majorBidi"/>
          <w:bCs/>
          <w:sz w:val="24"/>
          <w:szCs w:val="24"/>
        </w:rPr>
        <w:t xml:space="preserve"> means that Government is in a good position to make a meaningful contribution to continue supporting students </w:t>
      </w:r>
      <w:r w:rsidR="00452512" w:rsidRPr="00E13D21">
        <w:rPr>
          <w:rFonts w:eastAsiaTheme="majorEastAsia" w:cstheme="majorBidi"/>
          <w:bCs/>
          <w:sz w:val="24"/>
          <w:szCs w:val="24"/>
        </w:rPr>
        <w:t>through the provision of proper buildings</w:t>
      </w:r>
      <w:r w:rsidR="00072A73" w:rsidRPr="00E13D21">
        <w:rPr>
          <w:rFonts w:eastAsiaTheme="majorEastAsia" w:cstheme="majorBidi"/>
          <w:bCs/>
          <w:sz w:val="24"/>
          <w:szCs w:val="24"/>
        </w:rPr>
        <w:t>.</w:t>
      </w:r>
    </w:p>
    <w:p w14:paraId="041CFD15" w14:textId="77777777" w:rsidR="00167086" w:rsidRPr="00E13D21" w:rsidRDefault="00167086" w:rsidP="00E13D21">
      <w:pPr>
        <w:spacing w:after="0" w:line="360" w:lineRule="auto"/>
        <w:jc w:val="both"/>
        <w:rPr>
          <w:sz w:val="24"/>
          <w:szCs w:val="24"/>
        </w:rPr>
      </w:pPr>
    </w:p>
    <w:p w14:paraId="472552AA" w14:textId="6DDC5785" w:rsidR="009C794E" w:rsidRPr="00E13D21" w:rsidRDefault="00CD6054" w:rsidP="00E13D21">
      <w:pPr>
        <w:spacing w:after="0" w:line="360" w:lineRule="auto"/>
        <w:jc w:val="both"/>
        <w:rPr>
          <w:sz w:val="24"/>
          <w:szCs w:val="24"/>
        </w:rPr>
      </w:pPr>
      <w:r w:rsidRPr="00E13D21">
        <w:rPr>
          <w:sz w:val="24"/>
          <w:szCs w:val="24"/>
        </w:rPr>
        <w:lastRenderedPageBreak/>
        <w:t xml:space="preserve">Ireland has a very young population (Eurostat, 2015).  In 2008, we had the second highest proportion of </w:t>
      </w:r>
      <w:r w:rsidR="00C3579A" w:rsidRPr="00E13D21">
        <w:rPr>
          <w:sz w:val="24"/>
          <w:szCs w:val="24"/>
        </w:rPr>
        <w:t>10-14-year</w:t>
      </w:r>
      <w:r w:rsidRPr="00E13D21">
        <w:rPr>
          <w:sz w:val="24"/>
          <w:szCs w:val="24"/>
        </w:rPr>
        <w:t xml:space="preserve"> olds in the European Union (CSO, 2009).  The high birth rate in Ireland (CSO, 2017; Eurostat, 2017) indicates that the population of young people is likely to remain high for the foreseeab</w:t>
      </w:r>
      <w:r w:rsidR="002B7C4F" w:rsidRPr="00E13D21">
        <w:rPr>
          <w:sz w:val="24"/>
          <w:szCs w:val="24"/>
        </w:rPr>
        <w:t>le future.  The DES (2012, 2017</w:t>
      </w:r>
      <w:r w:rsidRPr="00E13D21">
        <w:rPr>
          <w:sz w:val="24"/>
          <w:szCs w:val="24"/>
        </w:rPr>
        <w:t xml:space="preserve">) suggests that the number of students in the </w:t>
      </w:r>
      <w:r w:rsidR="009C794E" w:rsidRPr="00E13D21">
        <w:rPr>
          <w:sz w:val="24"/>
          <w:szCs w:val="24"/>
        </w:rPr>
        <w:t>post-</w:t>
      </w:r>
      <w:r w:rsidRPr="00E13D21">
        <w:rPr>
          <w:sz w:val="24"/>
          <w:szCs w:val="24"/>
        </w:rPr>
        <w:t xml:space="preserve">primary school system will rise by almost one hundred thousand in second level </w:t>
      </w:r>
      <w:r w:rsidR="007B5316">
        <w:rPr>
          <w:sz w:val="24"/>
          <w:szCs w:val="24"/>
        </w:rPr>
        <w:t>between</w:t>
      </w:r>
      <w:r w:rsidRPr="00E13D21">
        <w:rPr>
          <w:sz w:val="24"/>
          <w:szCs w:val="24"/>
        </w:rPr>
        <w:t xml:space="preserve"> 2011 </w:t>
      </w:r>
      <w:r w:rsidR="007B5316">
        <w:rPr>
          <w:sz w:val="24"/>
          <w:szCs w:val="24"/>
        </w:rPr>
        <w:t>and</w:t>
      </w:r>
      <w:r w:rsidRPr="00E13D21">
        <w:rPr>
          <w:sz w:val="24"/>
          <w:szCs w:val="24"/>
        </w:rPr>
        <w:t xml:space="preserve"> 2025 (322,528 to 416,897).  </w:t>
      </w:r>
      <w:r w:rsidR="009C794E" w:rsidRPr="00E13D21">
        <w:rPr>
          <w:sz w:val="24"/>
          <w:szCs w:val="24"/>
        </w:rPr>
        <w:t xml:space="preserve">The latest projections </w:t>
      </w:r>
      <w:r w:rsidR="007B5316">
        <w:rPr>
          <w:sz w:val="24"/>
          <w:szCs w:val="24"/>
        </w:rPr>
        <w:t>in</w:t>
      </w:r>
      <w:r w:rsidR="009C794E" w:rsidRPr="00E13D21">
        <w:rPr>
          <w:sz w:val="24"/>
          <w:szCs w:val="24"/>
        </w:rPr>
        <w:t xml:space="preserve"> DPER (2018) are that </w:t>
      </w:r>
      <w:r w:rsidR="00452512" w:rsidRPr="00E13D21">
        <w:rPr>
          <w:sz w:val="24"/>
          <w:szCs w:val="24"/>
        </w:rPr>
        <w:t>enrolments in post-primary are expected to rise 12.5% between 2018 and 2024</w:t>
      </w:r>
      <w:r w:rsidR="009C794E" w:rsidRPr="00E13D21">
        <w:rPr>
          <w:sz w:val="24"/>
          <w:szCs w:val="24"/>
        </w:rPr>
        <w:t>.  This creates obvious issues regarding the timely provision of school buildings.</w:t>
      </w:r>
    </w:p>
    <w:p w14:paraId="42D9E9FE" w14:textId="77777777" w:rsidR="009C794E" w:rsidRPr="00E13D21" w:rsidRDefault="009C794E" w:rsidP="00E13D21">
      <w:pPr>
        <w:spacing w:after="0" w:line="360" w:lineRule="auto"/>
        <w:jc w:val="both"/>
        <w:rPr>
          <w:sz w:val="24"/>
          <w:szCs w:val="24"/>
        </w:rPr>
      </w:pPr>
    </w:p>
    <w:p w14:paraId="1C3ABAB2" w14:textId="0A8785B3" w:rsidR="009C794E" w:rsidRPr="00C3579A" w:rsidRDefault="009C794E" w:rsidP="00E13D21">
      <w:pPr>
        <w:spacing w:after="0" w:line="360" w:lineRule="auto"/>
        <w:jc w:val="both"/>
        <w:rPr>
          <w:b/>
          <w:sz w:val="28"/>
          <w:szCs w:val="28"/>
          <w:u w:val="single"/>
        </w:rPr>
      </w:pPr>
      <w:r w:rsidRPr="00C3579A">
        <w:rPr>
          <w:b/>
          <w:sz w:val="28"/>
          <w:szCs w:val="28"/>
          <w:u w:val="single"/>
        </w:rPr>
        <w:t xml:space="preserve">ASD – </w:t>
      </w:r>
      <w:r w:rsidR="00C3579A">
        <w:rPr>
          <w:b/>
          <w:sz w:val="28"/>
          <w:szCs w:val="28"/>
          <w:u w:val="single"/>
        </w:rPr>
        <w:t>S</w:t>
      </w:r>
      <w:r w:rsidRPr="00C3579A">
        <w:rPr>
          <w:b/>
          <w:sz w:val="28"/>
          <w:szCs w:val="28"/>
          <w:u w:val="single"/>
        </w:rPr>
        <w:t xml:space="preserve">pecial </w:t>
      </w:r>
      <w:r w:rsidR="00C3579A">
        <w:rPr>
          <w:b/>
          <w:sz w:val="28"/>
          <w:szCs w:val="28"/>
          <w:u w:val="single"/>
        </w:rPr>
        <w:t>C</w:t>
      </w:r>
      <w:r w:rsidRPr="00C3579A">
        <w:rPr>
          <w:b/>
          <w:sz w:val="28"/>
          <w:szCs w:val="28"/>
          <w:u w:val="single"/>
        </w:rPr>
        <w:t>lasses</w:t>
      </w:r>
    </w:p>
    <w:p w14:paraId="009EB282" w14:textId="77777777" w:rsidR="007B5316" w:rsidRDefault="00CD6054" w:rsidP="007B5316">
      <w:pPr>
        <w:spacing w:after="0" w:line="360" w:lineRule="auto"/>
        <w:jc w:val="both"/>
        <w:rPr>
          <w:sz w:val="24"/>
          <w:szCs w:val="24"/>
        </w:rPr>
      </w:pPr>
      <w:r w:rsidRPr="00E13D21">
        <w:rPr>
          <w:sz w:val="24"/>
          <w:szCs w:val="24"/>
        </w:rPr>
        <w:t>DES</w:t>
      </w:r>
      <w:r w:rsidR="006C2BF8" w:rsidRPr="00E13D21">
        <w:rPr>
          <w:sz w:val="24"/>
          <w:szCs w:val="24"/>
        </w:rPr>
        <w:t xml:space="preserve"> data on enrolment patterns</w:t>
      </w:r>
      <w:r w:rsidRPr="00E13D21">
        <w:rPr>
          <w:sz w:val="24"/>
          <w:szCs w:val="24"/>
        </w:rPr>
        <w:t xml:space="preserve"> indicate that most schools enrol some students with SEN. However, close examination of all relevant data indicates that schools in the ETB and C&amp;C sectors enrol, by far, the largest proportion of students with special needs, representing a vast range in terms of the type and level of need experienced by individual students. Consequently, this leads to considerable variation in the additional support required by individual students and schools in order that special needs be addressed effectively and in a manner that ensures all students are appropriately supported in achieving their potential.</w:t>
      </w:r>
      <w:r w:rsidR="00313B2E" w:rsidRPr="00E13D21">
        <w:rPr>
          <w:sz w:val="24"/>
          <w:szCs w:val="24"/>
        </w:rPr>
        <w:t xml:space="preserve"> As cited in Fischer (2016: 167)</w:t>
      </w:r>
      <w:r w:rsidR="007B5316">
        <w:rPr>
          <w:sz w:val="24"/>
          <w:szCs w:val="24"/>
        </w:rPr>
        <w:t xml:space="preserve"> </w:t>
      </w:r>
    </w:p>
    <w:p w14:paraId="66CF6E05" w14:textId="7EFE6612" w:rsidR="00313B2E" w:rsidRPr="00E13D21" w:rsidRDefault="00313B2E" w:rsidP="007B5316">
      <w:pPr>
        <w:spacing w:after="0" w:line="360" w:lineRule="auto"/>
        <w:jc w:val="both"/>
        <w:rPr>
          <w:sz w:val="24"/>
          <w:szCs w:val="24"/>
        </w:rPr>
      </w:pPr>
      <w:r w:rsidRPr="00E13D21">
        <w:rPr>
          <w:sz w:val="24"/>
          <w:szCs w:val="24"/>
        </w:rPr>
        <w:t>“community schools and vocational or technical schools under VEC (and now ETB) management cater for a much more diverse school population and for a disproportionate number of immigrants or children of immigrants, as the results of the 2008 Department survey clearly showed.”</w:t>
      </w:r>
    </w:p>
    <w:p w14:paraId="29931935" w14:textId="77777777" w:rsidR="00CD6054" w:rsidRPr="00E13D21" w:rsidRDefault="00CD6054" w:rsidP="00E13D21">
      <w:pPr>
        <w:spacing w:after="0" w:line="360" w:lineRule="auto"/>
        <w:jc w:val="both"/>
        <w:rPr>
          <w:sz w:val="24"/>
          <w:szCs w:val="24"/>
        </w:rPr>
      </w:pPr>
    </w:p>
    <w:p w14:paraId="40B1C5CF" w14:textId="77777777" w:rsidR="007B5316" w:rsidRDefault="002672FF" w:rsidP="00E13D21">
      <w:pPr>
        <w:autoSpaceDE w:val="0"/>
        <w:autoSpaceDN w:val="0"/>
        <w:adjustRightInd w:val="0"/>
        <w:spacing w:after="0" w:line="360" w:lineRule="auto"/>
        <w:jc w:val="both"/>
        <w:rPr>
          <w:rFonts w:cs="Arial"/>
          <w:sz w:val="24"/>
          <w:szCs w:val="24"/>
        </w:rPr>
      </w:pPr>
      <w:r w:rsidRPr="00E13D21">
        <w:rPr>
          <w:rFonts w:cs="Arial"/>
          <w:sz w:val="24"/>
          <w:szCs w:val="24"/>
        </w:rPr>
        <w:t>Bond et al. (2016: 1) found that</w:t>
      </w:r>
      <w:r w:rsidR="007B5316">
        <w:rPr>
          <w:rFonts w:cs="Arial"/>
          <w:sz w:val="24"/>
          <w:szCs w:val="24"/>
        </w:rPr>
        <w:t xml:space="preserve"> </w:t>
      </w:r>
    </w:p>
    <w:p w14:paraId="6147B56B" w14:textId="679455F0" w:rsidR="002672FF" w:rsidRPr="00E13D21" w:rsidRDefault="002672FF" w:rsidP="00E13D21">
      <w:pPr>
        <w:autoSpaceDE w:val="0"/>
        <w:autoSpaceDN w:val="0"/>
        <w:adjustRightInd w:val="0"/>
        <w:spacing w:after="0" w:line="360" w:lineRule="auto"/>
        <w:jc w:val="both"/>
        <w:rPr>
          <w:rFonts w:cs="Arial"/>
          <w:sz w:val="24"/>
          <w:szCs w:val="24"/>
        </w:rPr>
      </w:pPr>
      <w:r w:rsidRPr="00E13D21">
        <w:rPr>
          <w:rFonts w:cs="Arial"/>
          <w:sz w:val="24"/>
          <w:szCs w:val="24"/>
        </w:rPr>
        <w:t>“</w:t>
      </w:r>
      <w:r w:rsidR="009C794E" w:rsidRPr="00E13D21">
        <w:rPr>
          <w:rFonts w:cs="Arial"/>
          <w:sz w:val="24"/>
          <w:szCs w:val="24"/>
        </w:rPr>
        <w:t>I</w:t>
      </w:r>
      <w:r w:rsidRPr="00E13D21">
        <w:rPr>
          <w:rFonts w:cs="Arial"/>
          <w:sz w:val="24"/>
          <w:szCs w:val="24"/>
        </w:rPr>
        <w:t>n 2011–12 there were 8,829 students with ASD in the total school population and in 2012–13 this number had increased to 10,719. The majority of these children attended mainstream schools.”</w:t>
      </w:r>
    </w:p>
    <w:p w14:paraId="5E98C1AC" w14:textId="77777777" w:rsidR="009C794E" w:rsidRPr="00E13D21" w:rsidRDefault="009C794E" w:rsidP="00E13D21">
      <w:pPr>
        <w:spacing w:after="0" w:line="360" w:lineRule="auto"/>
        <w:jc w:val="both"/>
        <w:rPr>
          <w:rFonts w:cs="Arial"/>
          <w:sz w:val="24"/>
          <w:szCs w:val="24"/>
        </w:rPr>
      </w:pPr>
    </w:p>
    <w:p w14:paraId="28916B9A" w14:textId="5378DBE5" w:rsidR="009C794E" w:rsidRPr="00E13D21" w:rsidRDefault="009C794E" w:rsidP="00E13D21">
      <w:pPr>
        <w:spacing w:after="0" w:line="360" w:lineRule="auto"/>
        <w:jc w:val="both"/>
        <w:rPr>
          <w:rFonts w:cs="Arial"/>
          <w:sz w:val="24"/>
          <w:szCs w:val="24"/>
        </w:rPr>
      </w:pPr>
      <w:r w:rsidRPr="00E13D21">
        <w:rPr>
          <w:rFonts w:cs="Arial"/>
          <w:sz w:val="24"/>
          <w:szCs w:val="24"/>
        </w:rPr>
        <w:t>NCSE (2015: 25) found that</w:t>
      </w:r>
    </w:p>
    <w:p w14:paraId="324870B3" w14:textId="77777777" w:rsidR="007B5316" w:rsidRDefault="009C794E" w:rsidP="00E13D21">
      <w:pPr>
        <w:spacing w:after="0" w:line="360" w:lineRule="auto"/>
        <w:jc w:val="both"/>
        <w:rPr>
          <w:rFonts w:cs="Arial"/>
          <w:sz w:val="24"/>
          <w:szCs w:val="24"/>
        </w:rPr>
      </w:pPr>
      <w:r w:rsidRPr="00E13D21">
        <w:rPr>
          <w:rFonts w:cs="Arial"/>
          <w:sz w:val="24"/>
          <w:szCs w:val="24"/>
        </w:rPr>
        <w:t xml:space="preserve">“With a prevalence of 1.55 per cent, ASD is no longer a low-incidence special educational category. A school with 600 boys enrolled might expect around seven to have ASD. A similar </w:t>
      </w:r>
      <w:r w:rsidRPr="00E13D21">
        <w:rPr>
          <w:rFonts w:cs="Arial"/>
          <w:sz w:val="24"/>
          <w:szCs w:val="24"/>
        </w:rPr>
        <w:lastRenderedPageBreak/>
        <w:t xml:space="preserve">sized girls’ school might expect around two with ASD. Many schools have fully embraced an open and inclusive policy but we know, from our own experience and through consultations, that some are reluctant to recognise their role in providing a full continuum of provision for students with ASD. Both soft and hard barriers to enrolment remain… Despite the growth and corresponding improvement in educational provision for students with ASD, the availability of appropriate mainstream and special placements continues to be problematic in certain areas of the State, particularly for those with ASD who have more complex learning and/or behavioural difficulties.”  </w:t>
      </w:r>
    </w:p>
    <w:p w14:paraId="6DD9B16F" w14:textId="7BFA4377" w:rsidR="009C794E" w:rsidRPr="00E13D21" w:rsidRDefault="009C794E" w:rsidP="00E13D21">
      <w:pPr>
        <w:spacing w:after="0" w:line="360" w:lineRule="auto"/>
        <w:jc w:val="both"/>
        <w:rPr>
          <w:rFonts w:cs="Arial"/>
          <w:sz w:val="24"/>
          <w:szCs w:val="24"/>
        </w:rPr>
      </w:pPr>
      <w:r w:rsidRPr="00E13D21">
        <w:rPr>
          <w:rFonts w:cs="Arial"/>
          <w:sz w:val="24"/>
          <w:szCs w:val="24"/>
        </w:rPr>
        <w:t>The TUI strongly believes that special classes should be available, in a local school, to all students who require such provision.  Neither hard nor soft barriers to admission should prevent a student with ASD from accessing suitable educational provision locally.  A recent news report (Irish Times June 4</w:t>
      </w:r>
      <w:r w:rsidRPr="00E13D21">
        <w:rPr>
          <w:rFonts w:cs="Arial"/>
          <w:sz w:val="24"/>
          <w:szCs w:val="24"/>
          <w:vertAlign w:val="superscript"/>
        </w:rPr>
        <w:t>th</w:t>
      </w:r>
      <w:r w:rsidR="00C3579A" w:rsidRPr="00E13D21">
        <w:rPr>
          <w:rFonts w:cs="Arial"/>
          <w:sz w:val="24"/>
          <w:szCs w:val="24"/>
        </w:rPr>
        <w:t>, 2018</w:t>
      </w:r>
      <w:r w:rsidRPr="00E13D21">
        <w:rPr>
          <w:rFonts w:cs="Arial"/>
          <w:sz w:val="24"/>
          <w:szCs w:val="24"/>
        </w:rPr>
        <w:t>) noted significant disparities in the availability of ASD classes in post-primary.  Some areas and sectors were very well-served whilst other weren’t.</w:t>
      </w:r>
    </w:p>
    <w:p w14:paraId="5890BC4B" w14:textId="77777777" w:rsidR="00A9600D" w:rsidRPr="00E13D21" w:rsidRDefault="00A9600D" w:rsidP="00E13D21">
      <w:pPr>
        <w:spacing w:line="360" w:lineRule="auto"/>
        <w:jc w:val="both"/>
        <w:rPr>
          <w:sz w:val="24"/>
          <w:szCs w:val="24"/>
        </w:rPr>
      </w:pPr>
    </w:p>
    <w:p w14:paraId="41BB97A0" w14:textId="77777777" w:rsidR="00AA4D12" w:rsidRPr="00C3579A" w:rsidRDefault="00AA4D12" w:rsidP="00C3579A">
      <w:pPr>
        <w:spacing w:after="0" w:line="360" w:lineRule="auto"/>
        <w:jc w:val="both"/>
        <w:rPr>
          <w:rFonts w:eastAsia="Times New Roman" w:cs="Helvetica"/>
          <w:b/>
          <w:sz w:val="28"/>
          <w:szCs w:val="28"/>
          <w:u w:val="single"/>
        </w:rPr>
      </w:pPr>
      <w:r w:rsidRPr="00C3579A">
        <w:rPr>
          <w:rFonts w:eastAsia="Times New Roman" w:cs="Helvetica"/>
          <w:b/>
          <w:sz w:val="28"/>
          <w:szCs w:val="28"/>
          <w:u w:val="single"/>
        </w:rPr>
        <w:t>Special Educational Needs Generally</w:t>
      </w:r>
    </w:p>
    <w:p w14:paraId="01E9D240" w14:textId="22E4190E" w:rsidR="00AA4D12" w:rsidRPr="00E13D21" w:rsidRDefault="00AA4D12" w:rsidP="00C3579A">
      <w:pPr>
        <w:spacing w:after="0" w:line="360" w:lineRule="auto"/>
        <w:jc w:val="both"/>
        <w:rPr>
          <w:rFonts w:eastAsia="Times New Roman" w:cs="Helvetica"/>
          <w:sz w:val="24"/>
          <w:szCs w:val="24"/>
        </w:rPr>
      </w:pPr>
      <w:r w:rsidRPr="00E13D21">
        <w:rPr>
          <w:rFonts w:eastAsia="Times New Roman" w:cs="Helvetica"/>
          <w:sz w:val="24"/>
          <w:szCs w:val="24"/>
        </w:rPr>
        <w:t xml:space="preserve">It has been noted above that </w:t>
      </w:r>
      <w:r w:rsidRPr="00E13D21">
        <w:rPr>
          <w:sz w:val="24"/>
          <w:szCs w:val="24"/>
        </w:rPr>
        <w:t>ETB and C&amp;C sectors enrol, by far, the largest proportion of students with special needs</w:t>
      </w:r>
      <w:r w:rsidRPr="00E13D21">
        <w:rPr>
          <w:rFonts w:eastAsia="Times New Roman" w:cs="Helvetica"/>
          <w:sz w:val="24"/>
          <w:szCs w:val="24"/>
        </w:rPr>
        <w:t xml:space="preserve">.  As a result, many schools in these </w:t>
      </w:r>
      <w:r w:rsidR="00C3579A" w:rsidRPr="00E13D21">
        <w:rPr>
          <w:rFonts w:eastAsia="Times New Roman" w:cs="Helvetica"/>
          <w:sz w:val="24"/>
          <w:szCs w:val="24"/>
        </w:rPr>
        <w:t>sectors</w:t>
      </w:r>
      <w:r w:rsidRPr="00E13D21">
        <w:rPr>
          <w:rFonts w:eastAsia="Times New Roman" w:cs="Helvetica"/>
          <w:sz w:val="24"/>
          <w:szCs w:val="24"/>
        </w:rPr>
        <w:t xml:space="preserve"> have a huge number of students receiving one to one tuition. These schools are in dire need of a resource unit, i.e. a suite of small rooms designed for one to one tuition or small groups. At present much of this happens in the canteen or any other space that teachers can find as they do not have spare rooms. This is clearly sub-optimal both in terms of school resourcing and in terms of protecting the dignity of students with SEN.</w:t>
      </w:r>
    </w:p>
    <w:p w14:paraId="27B55B75" w14:textId="77777777" w:rsidR="00AA4D12" w:rsidRPr="00E13D21" w:rsidRDefault="00AA4D12" w:rsidP="00E13D21">
      <w:pPr>
        <w:spacing w:after="0" w:line="360" w:lineRule="auto"/>
        <w:jc w:val="both"/>
        <w:rPr>
          <w:rFonts w:cs="Arial"/>
          <w:b/>
          <w:sz w:val="24"/>
          <w:szCs w:val="24"/>
          <w:u w:val="single"/>
        </w:rPr>
      </w:pPr>
    </w:p>
    <w:p w14:paraId="06099CBB" w14:textId="7D044419" w:rsidR="00452512" w:rsidRPr="00C3579A" w:rsidRDefault="002D1C90" w:rsidP="00E13D21">
      <w:pPr>
        <w:spacing w:after="0" w:line="360" w:lineRule="auto"/>
        <w:jc w:val="both"/>
        <w:rPr>
          <w:rFonts w:cs="Arial"/>
          <w:b/>
          <w:sz w:val="28"/>
          <w:szCs w:val="28"/>
          <w:u w:val="single"/>
        </w:rPr>
      </w:pPr>
      <w:r w:rsidRPr="00C3579A">
        <w:rPr>
          <w:rFonts w:cs="Arial"/>
          <w:b/>
          <w:sz w:val="28"/>
          <w:szCs w:val="28"/>
          <w:u w:val="single"/>
        </w:rPr>
        <w:t>Utilising the E</w:t>
      </w:r>
      <w:r w:rsidR="00452512" w:rsidRPr="00C3579A">
        <w:rPr>
          <w:rFonts w:cs="Arial"/>
          <w:b/>
          <w:sz w:val="28"/>
          <w:szCs w:val="28"/>
          <w:u w:val="single"/>
        </w:rPr>
        <w:t>xpertise of the ETBs</w:t>
      </w:r>
    </w:p>
    <w:p w14:paraId="1C720068" w14:textId="32C64E34" w:rsidR="00D94643" w:rsidRPr="00E13D21" w:rsidRDefault="00452512" w:rsidP="00E13D21">
      <w:pPr>
        <w:spacing w:after="0" w:line="360" w:lineRule="auto"/>
        <w:jc w:val="both"/>
        <w:rPr>
          <w:rFonts w:cs="Arial"/>
          <w:sz w:val="24"/>
          <w:szCs w:val="24"/>
        </w:rPr>
      </w:pPr>
      <w:r w:rsidRPr="00E13D21">
        <w:rPr>
          <w:rFonts w:cs="Arial"/>
          <w:sz w:val="24"/>
          <w:szCs w:val="24"/>
        </w:rPr>
        <w:t>Many ETBs throughout the country have significant experience in managing large and complex building projects, both in terms of new schools and extensions to existing school</w:t>
      </w:r>
      <w:r w:rsidR="007B5316">
        <w:rPr>
          <w:rFonts w:cs="Arial"/>
          <w:sz w:val="24"/>
          <w:szCs w:val="24"/>
        </w:rPr>
        <w:t>s</w:t>
      </w:r>
      <w:r w:rsidRPr="00E13D21">
        <w:rPr>
          <w:rFonts w:cs="Arial"/>
          <w:sz w:val="24"/>
          <w:szCs w:val="24"/>
        </w:rPr>
        <w:t>.  For exam</w:t>
      </w:r>
      <w:r w:rsidR="007B5316">
        <w:rPr>
          <w:rFonts w:cs="Arial"/>
          <w:sz w:val="24"/>
          <w:szCs w:val="24"/>
        </w:rPr>
        <w:t xml:space="preserve">ple, one ETB </w:t>
      </w:r>
      <w:r w:rsidR="00AA4D12" w:rsidRPr="00E13D21">
        <w:rPr>
          <w:rFonts w:cs="Arial"/>
          <w:sz w:val="24"/>
          <w:szCs w:val="24"/>
        </w:rPr>
        <w:t>has managed a dev</w:t>
      </w:r>
      <w:r w:rsidRPr="00E13D21">
        <w:rPr>
          <w:rFonts w:cs="Arial"/>
          <w:sz w:val="24"/>
          <w:szCs w:val="24"/>
        </w:rPr>
        <w:t>olved building project which meant that n</w:t>
      </w:r>
      <w:r w:rsidR="00D94643" w:rsidRPr="00E13D21">
        <w:rPr>
          <w:rFonts w:cs="Arial"/>
          <w:sz w:val="24"/>
          <w:szCs w:val="24"/>
        </w:rPr>
        <w:t>o project management company</w:t>
      </w:r>
      <w:r w:rsidRPr="00E13D21">
        <w:rPr>
          <w:rFonts w:cs="Arial"/>
          <w:sz w:val="24"/>
          <w:szCs w:val="24"/>
        </w:rPr>
        <w:t xml:space="preserve"> was required</w:t>
      </w:r>
      <w:r w:rsidR="00D94643" w:rsidRPr="00E13D21">
        <w:rPr>
          <w:rFonts w:cs="Arial"/>
          <w:sz w:val="24"/>
          <w:szCs w:val="24"/>
        </w:rPr>
        <w:t>.</w:t>
      </w:r>
      <w:r w:rsidRPr="00E13D21">
        <w:rPr>
          <w:rFonts w:cs="Arial"/>
          <w:sz w:val="24"/>
          <w:szCs w:val="24"/>
        </w:rPr>
        <w:t xml:space="preserve">  The ETB in this case hired building expertise in-house and this allowed the project to be</w:t>
      </w:r>
      <w:r w:rsidR="007B5316">
        <w:rPr>
          <w:rFonts w:cs="Arial"/>
          <w:sz w:val="24"/>
          <w:szCs w:val="24"/>
        </w:rPr>
        <w:t xml:space="preserve"> completed on time and on budget.  </w:t>
      </w:r>
      <w:r w:rsidRPr="00E13D21">
        <w:rPr>
          <w:rFonts w:cs="Arial"/>
          <w:sz w:val="24"/>
          <w:szCs w:val="24"/>
        </w:rPr>
        <w:t xml:space="preserve">This system could be used in other </w:t>
      </w:r>
      <w:r w:rsidR="00C3579A" w:rsidRPr="00E13D21">
        <w:rPr>
          <w:rFonts w:cs="Arial"/>
          <w:sz w:val="24"/>
          <w:szCs w:val="24"/>
        </w:rPr>
        <w:t>areas,</w:t>
      </w:r>
      <w:r w:rsidRPr="00E13D21">
        <w:rPr>
          <w:rFonts w:cs="Arial"/>
          <w:sz w:val="24"/>
          <w:szCs w:val="24"/>
        </w:rPr>
        <w:t xml:space="preserve"> but it would be necessary for ETBs to be adequately resourced to do so.  It is also interesting to note that s</w:t>
      </w:r>
      <w:r w:rsidR="00D94643" w:rsidRPr="00E13D21">
        <w:rPr>
          <w:rFonts w:cs="Arial"/>
          <w:sz w:val="24"/>
          <w:szCs w:val="24"/>
        </w:rPr>
        <w:t xml:space="preserve">everal ETBs </w:t>
      </w:r>
      <w:r w:rsidRPr="00E13D21">
        <w:rPr>
          <w:rFonts w:cs="Arial"/>
          <w:sz w:val="24"/>
          <w:szCs w:val="24"/>
        </w:rPr>
        <w:t>are now also</w:t>
      </w:r>
      <w:r w:rsidR="00D94643" w:rsidRPr="00E13D21">
        <w:rPr>
          <w:rFonts w:cs="Arial"/>
          <w:sz w:val="24"/>
          <w:szCs w:val="24"/>
        </w:rPr>
        <w:t xml:space="preserve"> </w:t>
      </w:r>
      <w:r w:rsidRPr="00E13D21">
        <w:rPr>
          <w:rFonts w:cs="Arial"/>
          <w:sz w:val="24"/>
          <w:szCs w:val="24"/>
        </w:rPr>
        <w:t xml:space="preserve">providing advice on building </w:t>
      </w:r>
      <w:r w:rsidRPr="00E13D21">
        <w:rPr>
          <w:rFonts w:cs="Arial"/>
          <w:sz w:val="24"/>
          <w:szCs w:val="24"/>
        </w:rPr>
        <w:lastRenderedPageBreak/>
        <w:t>projects to some</w:t>
      </w:r>
      <w:r w:rsidR="00D94643" w:rsidRPr="00E13D21">
        <w:rPr>
          <w:rFonts w:cs="Arial"/>
          <w:sz w:val="24"/>
          <w:szCs w:val="24"/>
        </w:rPr>
        <w:t xml:space="preserve"> primary schools</w:t>
      </w:r>
      <w:r w:rsidRPr="00E13D21">
        <w:rPr>
          <w:rFonts w:cs="Arial"/>
          <w:sz w:val="24"/>
          <w:szCs w:val="24"/>
        </w:rPr>
        <w:t xml:space="preserve"> which</w:t>
      </w:r>
      <w:r w:rsidR="00D94643" w:rsidRPr="00E13D21">
        <w:rPr>
          <w:rFonts w:cs="Arial"/>
          <w:sz w:val="24"/>
          <w:szCs w:val="24"/>
        </w:rPr>
        <w:t xml:space="preserve"> </w:t>
      </w:r>
      <w:r w:rsidR="007B5316">
        <w:rPr>
          <w:rFonts w:cs="Arial"/>
          <w:sz w:val="24"/>
          <w:szCs w:val="24"/>
        </w:rPr>
        <w:t xml:space="preserve">are </w:t>
      </w:r>
      <w:r w:rsidR="00D94643" w:rsidRPr="00E13D21">
        <w:rPr>
          <w:rFonts w:cs="Arial"/>
          <w:sz w:val="24"/>
          <w:szCs w:val="24"/>
        </w:rPr>
        <w:t xml:space="preserve">under religious patronage.  </w:t>
      </w:r>
      <w:r w:rsidRPr="00E13D21">
        <w:rPr>
          <w:rFonts w:cs="Arial"/>
          <w:sz w:val="24"/>
          <w:szCs w:val="24"/>
        </w:rPr>
        <w:t>This model can r</w:t>
      </w:r>
      <w:r w:rsidR="00D94643" w:rsidRPr="00E13D21">
        <w:rPr>
          <w:rFonts w:cs="Arial"/>
          <w:sz w:val="24"/>
          <w:szCs w:val="24"/>
        </w:rPr>
        <w:t xml:space="preserve">elieve </w:t>
      </w:r>
      <w:r w:rsidRPr="00E13D21">
        <w:rPr>
          <w:rFonts w:cs="Arial"/>
          <w:sz w:val="24"/>
          <w:szCs w:val="24"/>
        </w:rPr>
        <w:t xml:space="preserve">some of the </w:t>
      </w:r>
      <w:r w:rsidR="00D94643" w:rsidRPr="00E13D21">
        <w:rPr>
          <w:rFonts w:cs="Arial"/>
          <w:sz w:val="24"/>
          <w:szCs w:val="24"/>
        </w:rPr>
        <w:t xml:space="preserve">pressure on </w:t>
      </w:r>
      <w:r w:rsidR="007B5316">
        <w:rPr>
          <w:rFonts w:cs="Arial"/>
          <w:sz w:val="24"/>
          <w:szCs w:val="24"/>
        </w:rPr>
        <w:t xml:space="preserve">the </w:t>
      </w:r>
      <w:r w:rsidRPr="00E13D21">
        <w:rPr>
          <w:rFonts w:cs="Arial"/>
          <w:sz w:val="24"/>
          <w:szCs w:val="24"/>
        </w:rPr>
        <w:t xml:space="preserve">DES </w:t>
      </w:r>
      <w:r w:rsidR="00D94643" w:rsidRPr="00E13D21">
        <w:rPr>
          <w:rFonts w:cs="Arial"/>
          <w:sz w:val="24"/>
          <w:szCs w:val="24"/>
        </w:rPr>
        <w:t>Planning and Building Unit in Tullamore.</w:t>
      </w:r>
    </w:p>
    <w:p w14:paraId="2F5E9E4B" w14:textId="77777777" w:rsidR="005C356F" w:rsidRPr="00E13D21" w:rsidRDefault="005C356F" w:rsidP="00E13D21">
      <w:pPr>
        <w:spacing w:after="0" w:line="360" w:lineRule="auto"/>
        <w:jc w:val="both"/>
        <w:rPr>
          <w:rFonts w:cs="Arial"/>
          <w:b/>
          <w:sz w:val="24"/>
          <w:szCs w:val="24"/>
          <w:u w:val="single"/>
        </w:rPr>
      </w:pPr>
    </w:p>
    <w:p w14:paraId="4339ED9B" w14:textId="77777777" w:rsidR="00452512" w:rsidRPr="00C3579A" w:rsidRDefault="00452512" w:rsidP="00C3579A">
      <w:pPr>
        <w:spacing w:after="0" w:line="360" w:lineRule="auto"/>
        <w:jc w:val="both"/>
        <w:rPr>
          <w:rFonts w:cs="Arial"/>
          <w:b/>
          <w:sz w:val="28"/>
          <w:szCs w:val="28"/>
          <w:u w:val="single"/>
        </w:rPr>
      </w:pPr>
      <w:r w:rsidRPr="00C3579A">
        <w:rPr>
          <w:rFonts w:cs="Arial"/>
          <w:b/>
          <w:sz w:val="28"/>
          <w:szCs w:val="28"/>
          <w:u w:val="single"/>
        </w:rPr>
        <w:t>Regulations</w:t>
      </w:r>
    </w:p>
    <w:p w14:paraId="4D7C2C3C" w14:textId="0C1F5581" w:rsidR="00190B56" w:rsidRPr="00E13D21" w:rsidRDefault="00D94643" w:rsidP="00C3579A">
      <w:pPr>
        <w:spacing w:after="0" w:line="360" w:lineRule="auto"/>
        <w:jc w:val="both"/>
        <w:rPr>
          <w:rFonts w:cs="Arial"/>
          <w:sz w:val="24"/>
          <w:szCs w:val="24"/>
        </w:rPr>
      </w:pPr>
      <w:r w:rsidRPr="00E13D21">
        <w:rPr>
          <w:rFonts w:cs="Arial"/>
          <w:sz w:val="24"/>
          <w:szCs w:val="24"/>
        </w:rPr>
        <w:t>New building projects quite rightly need to comply with health and safety regulations, GDPR regulations, preventative maintenance regulations etc.  However, that imposes a financial cost, a staffing cost and an opportunity cost</w:t>
      </w:r>
      <w:r w:rsidR="00452512" w:rsidRPr="00E13D21">
        <w:rPr>
          <w:rFonts w:cs="Arial"/>
          <w:sz w:val="24"/>
          <w:szCs w:val="24"/>
        </w:rPr>
        <w:t xml:space="preserve">.  These costs must be adequately </w:t>
      </w:r>
      <w:r w:rsidRPr="00E13D21">
        <w:rPr>
          <w:rFonts w:cs="Arial"/>
          <w:sz w:val="24"/>
          <w:szCs w:val="24"/>
        </w:rPr>
        <w:t>factored in</w:t>
      </w:r>
      <w:r w:rsidR="00452512" w:rsidRPr="00E13D21">
        <w:rPr>
          <w:rFonts w:cs="Arial"/>
          <w:sz w:val="24"/>
          <w:szCs w:val="24"/>
        </w:rPr>
        <w:t>to the budget allocated by the DES for the project</w:t>
      </w:r>
      <w:r w:rsidRPr="00E13D21">
        <w:rPr>
          <w:rFonts w:cs="Arial"/>
          <w:sz w:val="24"/>
          <w:szCs w:val="24"/>
        </w:rPr>
        <w:t>.</w:t>
      </w:r>
      <w:r w:rsidR="002D1C90" w:rsidRPr="00E13D21">
        <w:rPr>
          <w:rFonts w:cs="Arial"/>
          <w:sz w:val="24"/>
          <w:szCs w:val="24"/>
        </w:rPr>
        <w:t xml:space="preserve">  Furthermore, gaining permission from the DES, obtaining planning permission and then engaging in subsequent procurement </w:t>
      </w:r>
      <w:r w:rsidR="007B5316">
        <w:rPr>
          <w:rFonts w:cs="Arial"/>
          <w:sz w:val="24"/>
          <w:szCs w:val="24"/>
        </w:rPr>
        <w:t xml:space="preserve">processes </w:t>
      </w:r>
      <w:r w:rsidR="002D1C90" w:rsidRPr="00E13D21">
        <w:rPr>
          <w:rFonts w:cs="Arial"/>
          <w:sz w:val="24"/>
          <w:szCs w:val="24"/>
        </w:rPr>
        <w:t>are all very important and it is right that it should be done.  However, it can slow down the building of school facilities by up to a year and a half.  This is particularly important when building projects arise from sudden demographic growth in the locality.</w:t>
      </w:r>
      <w:r w:rsidR="00190B56" w:rsidRPr="00E13D21">
        <w:rPr>
          <w:rFonts w:cs="Arial"/>
          <w:sz w:val="24"/>
          <w:szCs w:val="24"/>
        </w:rPr>
        <w:t xml:space="preserve"> As regards DES regulations, it would be helpful if a simplified application system could be introduced for necessary works such as resurfacing of a basketball court or removing trees on site that have become dangerous i.e. things that the general budget of a school could not afford. This would also help to speed up processes.</w:t>
      </w:r>
    </w:p>
    <w:p w14:paraId="74612434" w14:textId="6118C054" w:rsidR="005C356F" w:rsidRPr="00E13D21" w:rsidRDefault="005C356F" w:rsidP="00E13D21">
      <w:pPr>
        <w:spacing w:after="0" w:line="360" w:lineRule="auto"/>
        <w:jc w:val="both"/>
        <w:rPr>
          <w:rFonts w:cs="Arial"/>
          <w:sz w:val="24"/>
          <w:szCs w:val="24"/>
        </w:rPr>
      </w:pPr>
    </w:p>
    <w:p w14:paraId="15C5EACE" w14:textId="78F36D7B" w:rsidR="002D1C90" w:rsidRPr="00C3579A" w:rsidRDefault="00C3579A" w:rsidP="00E13D21">
      <w:pPr>
        <w:spacing w:after="0" w:line="360" w:lineRule="auto"/>
        <w:jc w:val="both"/>
        <w:rPr>
          <w:rFonts w:cs="Arial"/>
          <w:b/>
          <w:sz w:val="28"/>
          <w:szCs w:val="28"/>
          <w:u w:val="single"/>
        </w:rPr>
      </w:pPr>
      <w:r w:rsidRPr="00C3579A">
        <w:rPr>
          <w:rFonts w:cs="Arial"/>
          <w:b/>
          <w:sz w:val="28"/>
          <w:szCs w:val="28"/>
          <w:u w:val="single"/>
        </w:rPr>
        <w:t>Ancillary</w:t>
      </w:r>
      <w:r w:rsidR="002D1C90" w:rsidRPr="00C3579A">
        <w:rPr>
          <w:rFonts w:cs="Arial"/>
          <w:b/>
          <w:sz w:val="28"/>
          <w:szCs w:val="28"/>
          <w:u w:val="single"/>
        </w:rPr>
        <w:t xml:space="preserve"> Staffing</w:t>
      </w:r>
    </w:p>
    <w:p w14:paraId="68903D00" w14:textId="230A4014" w:rsidR="00D94643" w:rsidRPr="00E13D21" w:rsidRDefault="00D94643" w:rsidP="00E13D21">
      <w:pPr>
        <w:spacing w:after="0" w:line="360" w:lineRule="auto"/>
        <w:jc w:val="both"/>
        <w:rPr>
          <w:rFonts w:cs="Arial"/>
          <w:sz w:val="24"/>
          <w:szCs w:val="24"/>
        </w:rPr>
      </w:pPr>
      <w:r w:rsidRPr="00E13D21">
        <w:rPr>
          <w:rFonts w:cs="Arial"/>
          <w:sz w:val="24"/>
          <w:szCs w:val="24"/>
        </w:rPr>
        <w:t xml:space="preserve">New schools with as many as one thousand students only get an </w:t>
      </w:r>
      <w:r w:rsidR="00C3579A" w:rsidRPr="00E13D21">
        <w:rPr>
          <w:rFonts w:cs="Arial"/>
          <w:sz w:val="24"/>
          <w:szCs w:val="24"/>
        </w:rPr>
        <w:t>ancillary</w:t>
      </w:r>
      <w:r w:rsidRPr="00E13D21">
        <w:rPr>
          <w:rFonts w:cs="Arial"/>
          <w:sz w:val="24"/>
          <w:szCs w:val="24"/>
        </w:rPr>
        <w:t xml:space="preserve"> staffing </w:t>
      </w:r>
      <w:r w:rsidR="002D1C90" w:rsidRPr="00E13D21">
        <w:rPr>
          <w:rFonts w:cs="Arial"/>
          <w:sz w:val="24"/>
          <w:szCs w:val="24"/>
        </w:rPr>
        <w:t xml:space="preserve">allocation </w:t>
      </w:r>
      <w:r w:rsidRPr="00E13D21">
        <w:rPr>
          <w:rFonts w:cs="Arial"/>
          <w:sz w:val="24"/>
          <w:szCs w:val="24"/>
        </w:rPr>
        <w:t xml:space="preserve">of one caretaker, one administrative person and one cleaner.  This is woefully inadequate even if the school were only to be open for eight hours a day.  </w:t>
      </w:r>
      <w:r w:rsidR="00C3579A" w:rsidRPr="00E13D21">
        <w:rPr>
          <w:rFonts w:cs="Arial"/>
          <w:sz w:val="24"/>
          <w:szCs w:val="24"/>
        </w:rPr>
        <w:t>However,</w:t>
      </w:r>
      <w:r w:rsidRPr="00E13D21">
        <w:rPr>
          <w:rFonts w:cs="Arial"/>
          <w:sz w:val="24"/>
          <w:szCs w:val="24"/>
        </w:rPr>
        <w:t xml:space="preserve"> many schools, especially Community Colleges and Community Schools, are open late into the night for community meetings etc.  Ongoing maintenance is, of course, a requirement for all buildings but newly built school buildings are at risk of losing thei</w:t>
      </w:r>
      <w:r w:rsidR="002D1C90" w:rsidRPr="00E13D21">
        <w:rPr>
          <w:rFonts w:cs="Arial"/>
          <w:sz w:val="24"/>
          <w:szCs w:val="24"/>
        </w:rPr>
        <w:t>r</w:t>
      </w:r>
      <w:r w:rsidRPr="00E13D21">
        <w:rPr>
          <w:rFonts w:cs="Arial"/>
          <w:sz w:val="24"/>
          <w:szCs w:val="24"/>
        </w:rPr>
        <w:t xml:space="preserve"> warranties on the building if specific maintenance is not carried out and recorded as such.  It is very difficult to do this when there is only one caretaker.  </w:t>
      </w:r>
      <w:r w:rsidR="00146111" w:rsidRPr="00E13D21">
        <w:rPr>
          <w:rFonts w:cs="Arial"/>
          <w:sz w:val="24"/>
          <w:szCs w:val="24"/>
        </w:rPr>
        <w:t>An analogy would be if a company spent €15m buying a new aeroplane but didn’t have anyone to service it.  Very rapidly it would become apparent that poor value for money was being achieved.</w:t>
      </w:r>
      <w:r w:rsidR="002D1C90" w:rsidRPr="00E13D21">
        <w:rPr>
          <w:rFonts w:cs="Arial"/>
          <w:sz w:val="24"/>
          <w:szCs w:val="24"/>
        </w:rPr>
        <w:t xml:space="preserve">  A small investment in staffing to maintain ongoing maintenance would pay dividends in the end.</w:t>
      </w:r>
    </w:p>
    <w:p w14:paraId="2157A672" w14:textId="77777777" w:rsidR="005C356F" w:rsidRPr="00E13D21" w:rsidRDefault="005C356F" w:rsidP="00E13D21">
      <w:pPr>
        <w:spacing w:after="0" w:line="360" w:lineRule="auto"/>
        <w:jc w:val="both"/>
        <w:rPr>
          <w:rFonts w:cs="Arial"/>
          <w:sz w:val="24"/>
          <w:szCs w:val="24"/>
        </w:rPr>
      </w:pPr>
    </w:p>
    <w:p w14:paraId="33B6EFAF" w14:textId="400F0C9A" w:rsidR="002D1C90" w:rsidRPr="00C3579A" w:rsidRDefault="002D1C90" w:rsidP="00E13D21">
      <w:pPr>
        <w:spacing w:after="0" w:line="360" w:lineRule="auto"/>
        <w:jc w:val="both"/>
        <w:rPr>
          <w:rFonts w:cs="Arial"/>
          <w:b/>
          <w:sz w:val="28"/>
          <w:szCs w:val="28"/>
          <w:u w:val="single"/>
        </w:rPr>
      </w:pPr>
      <w:r w:rsidRPr="00C3579A">
        <w:rPr>
          <w:rFonts w:cs="Arial"/>
          <w:b/>
          <w:sz w:val="28"/>
          <w:szCs w:val="28"/>
          <w:u w:val="single"/>
        </w:rPr>
        <w:t>Bathroom Facilities</w:t>
      </w:r>
    </w:p>
    <w:p w14:paraId="4E89B56C" w14:textId="63DA7251" w:rsidR="003C2B51" w:rsidRPr="00E13D21" w:rsidRDefault="002D1C90" w:rsidP="00E13D21">
      <w:pPr>
        <w:spacing w:after="0" w:line="360" w:lineRule="auto"/>
        <w:jc w:val="both"/>
        <w:rPr>
          <w:rFonts w:cs="Arial"/>
          <w:sz w:val="24"/>
          <w:szCs w:val="24"/>
        </w:rPr>
      </w:pPr>
      <w:r w:rsidRPr="00E13D21">
        <w:rPr>
          <w:rFonts w:cs="Arial"/>
          <w:sz w:val="24"/>
          <w:szCs w:val="24"/>
        </w:rPr>
        <w:lastRenderedPageBreak/>
        <w:t xml:space="preserve">It is of course essential for school buildings to have adequate bathroom facilities.  This must, for example, take account of the needs of </w:t>
      </w:r>
      <w:r w:rsidR="003C2B51" w:rsidRPr="00E13D21">
        <w:rPr>
          <w:rFonts w:cs="Arial"/>
          <w:sz w:val="24"/>
          <w:szCs w:val="24"/>
        </w:rPr>
        <w:t xml:space="preserve">Transgender </w:t>
      </w:r>
      <w:r w:rsidRPr="00E13D21">
        <w:rPr>
          <w:rFonts w:cs="Arial"/>
          <w:sz w:val="24"/>
          <w:szCs w:val="24"/>
        </w:rPr>
        <w:t>students. Furthermore, there can be problems in terms of providing facilities for staff and older students when second-level schools are temporarily housed in primary school buildings.  This shall be dealt with in more detail later.</w:t>
      </w:r>
      <w:r w:rsidR="005C356F" w:rsidRPr="00E13D21">
        <w:rPr>
          <w:rFonts w:cs="Arial"/>
          <w:sz w:val="24"/>
          <w:szCs w:val="24"/>
        </w:rPr>
        <w:t xml:space="preserve"> </w:t>
      </w:r>
      <w:r w:rsidRPr="00E13D21">
        <w:rPr>
          <w:rFonts w:cs="Arial"/>
          <w:sz w:val="24"/>
          <w:szCs w:val="24"/>
        </w:rPr>
        <w:t>In the context of the desire for more people to cycle to work, it would also be helpful if showering facilities were available to staff.</w:t>
      </w:r>
    </w:p>
    <w:p w14:paraId="1FD905F0" w14:textId="77777777" w:rsidR="005C356F" w:rsidRPr="00E13D21" w:rsidRDefault="005C356F" w:rsidP="00E13D21">
      <w:pPr>
        <w:spacing w:after="0" w:line="360" w:lineRule="auto"/>
        <w:jc w:val="both"/>
        <w:rPr>
          <w:rFonts w:cs="Arial"/>
          <w:sz w:val="24"/>
          <w:szCs w:val="24"/>
        </w:rPr>
      </w:pPr>
    </w:p>
    <w:p w14:paraId="174075AF" w14:textId="5D3BE694" w:rsidR="002D1C90" w:rsidRPr="00C3579A" w:rsidRDefault="00AA4D12" w:rsidP="00E13D21">
      <w:pPr>
        <w:spacing w:after="0" w:line="360" w:lineRule="auto"/>
        <w:jc w:val="both"/>
        <w:rPr>
          <w:rFonts w:cs="Arial"/>
          <w:b/>
          <w:sz w:val="28"/>
          <w:szCs w:val="28"/>
          <w:u w:val="single"/>
        </w:rPr>
      </w:pPr>
      <w:r w:rsidRPr="00C3579A">
        <w:rPr>
          <w:rFonts w:cs="Arial"/>
          <w:b/>
          <w:sz w:val="28"/>
          <w:szCs w:val="28"/>
          <w:u w:val="single"/>
        </w:rPr>
        <w:t>Building C</w:t>
      </w:r>
      <w:r w:rsidR="002D1C90" w:rsidRPr="00C3579A">
        <w:rPr>
          <w:rFonts w:cs="Arial"/>
          <w:b/>
          <w:sz w:val="28"/>
          <w:szCs w:val="28"/>
          <w:u w:val="single"/>
        </w:rPr>
        <w:t>osts</w:t>
      </w:r>
    </w:p>
    <w:p w14:paraId="76104250" w14:textId="54F5E914" w:rsidR="005C356F" w:rsidRPr="00E13D21" w:rsidRDefault="005C356F" w:rsidP="00E13D21">
      <w:pPr>
        <w:spacing w:after="0" w:line="360" w:lineRule="auto"/>
        <w:jc w:val="both"/>
        <w:rPr>
          <w:sz w:val="24"/>
          <w:szCs w:val="24"/>
        </w:rPr>
      </w:pPr>
      <w:r w:rsidRPr="00E13D21">
        <w:rPr>
          <w:rFonts w:cs="Arial"/>
          <w:sz w:val="24"/>
          <w:szCs w:val="24"/>
        </w:rPr>
        <w:t xml:space="preserve">The </w:t>
      </w:r>
      <w:bookmarkStart w:id="3" w:name="_Hlk519866905"/>
      <w:r w:rsidRPr="00E13D21">
        <w:rPr>
          <w:rFonts w:cs="Arial"/>
          <w:sz w:val="24"/>
          <w:szCs w:val="24"/>
        </w:rPr>
        <w:t>ongoin</w:t>
      </w:r>
      <w:bookmarkEnd w:id="3"/>
      <w:r w:rsidRPr="00E13D21">
        <w:rPr>
          <w:rFonts w:cs="Arial"/>
          <w:sz w:val="24"/>
          <w:szCs w:val="24"/>
        </w:rPr>
        <w:t>g</w:t>
      </w:r>
      <w:r w:rsidR="007B5316">
        <w:rPr>
          <w:rFonts w:cs="Arial"/>
          <w:sz w:val="24"/>
          <w:szCs w:val="24"/>
        </w:rPr>
        <w:t xml:space="preserve"> growth</w:t>
      </w:r>
      <w:r w:rsidRPr="00E13D21">
        <w:rPr>
          <w:rFonts w:cs="Arial"/>
          <w:sz w:val="24"/>
          <w:szCs w:val="24"/>
        </w:rPr>
        <w:t xml:space="preserve"> in the economy </w:t>
      </w:r>
      <w:r w:rsidR="007B5316">
        <w:rPr>
          <w:rFonts w:cs="Arial"/>
          <w:sz w:val="24"/>
          <w:szCs w:val="24"/>
        </w:rPr>
        <w:t>(OECD, 2017</w:t>
      </w:r>
      <w:r w:rsidRPr="00E13D21">
        <w:rPr>
          <w:rFonts w:cs="Arial"/>
          <w:sz w:val="24"/>
          <w:szCs w:val="24"/>
        </w:rPr>
        <w:t>; ESRI, 2018; Central Bank, 2018; EY, 2018; IMF, 2017; EU Commission 2017) may have an impact in terms</w:t>
      </w:r>
      <w:r w:rsidRPr="00E13D21">
        <w:rPr>
          <w:sz w:val="24"/>
          <w:szCs w:val="24"/>
        </w:rPr>
        <w:t xml:space="preserve"> of building costs inflation.  This needs to be taken into account when budgets are being drawn up for building projects.  </w:t>
      </w:r>
      <w:r w:rsidR="002D1C90" w:rsidRPr="00E13D21">
        <w:rPr>
          <w:sz w:val="24"/>
          <w:szCs w:val="24"/>
        </w:rPr>
        <w:t>As outlined above, i</w:t>
      </w:r>
      <w:r w:rsidRPr="00E13D21">
        <w:rPr>
          <w:sz w:val="24"/>
          <w:szCs w:val="24"/>
        </w:rPr>
        <w:t>t is not unusual for several years to pass from the need for a new or exp</w:t>
      </w:r>
      <w:r w:rsidR="007B5316">
        <w:rPr>
          <w:sz w:val="24"/>
          <w:szCs w:val="24"/>
        </w:rPr>
        <w:t>a</w:t>
      </w:r>
      <w:r w:rsidRPr="00E13D21">
        <w:rPr>
          <w:sz w:val="24"/>
          <w:szCs w:val="24"/>
        </w:rPr>
        <w:t xml:space="preserve">nded school being identified and the actual building being completed.  In that time costs can rise unexpectedly.  This is particularly important for schools in very remote areas.  In that case costs are often significantly higher than in </w:t>
      </w:r>
      <w:r w:rsidR="007B5316">
        <w:rPr>
          <w:sz w:val="24"/>
          <w:szCs w:val="24"/>
        </w:rPr>
        <w:t>urban</w:t>
      </w:r>
      <w:r w:rsidRPr="00E13D21">
        <w:rPr>
          <w:sz w:val="24"/>
          <w:szCs w:val="24"/>
        </w:rPr>
        <w:t xml:space="preserve"> areas due to a shortage of building companies being available.  Furthermore, schools in very remote areas may also encounter difficulty in linki</w:t>
      </w:r>
      <w:r w:rsidR="00190B56" w:rsidRPr="00E13D21">
        <w:rPr>
          <w:sz w:val="24"/>
          <w:szCs w:val="24"/>
        </w:rPr>
        <w:t>ng up with public infrast</w:t>
      </w:r>
      <w:r w:rsidRPr="00E13D21">
        <w:rPr>
          <w:sz w:val="24"/>
          <w:szCs w:val="24"/>
        </w:rPr>
        <w:t>ructure such as road and water systems.  This can cost further delays and costs.</w:t>
      </w:r>
      <w:r w:rsidR="00190B56" w:rsidRPr="00E13D21">
        <w:rPr>
          <w:sz w:val="24"/>
          <w:szCs w:val="24"/>
        </w:rPr>
        <w:t xml:space="preserve">  It is also essential that money be provided to update heating systems in older school buildings.</w:t>
      </w:r>
    </w:p>
    <w:p w14:paraId="6ECEE9A6" w14:textId="77777777" w:rsidR="008C0CCB" w:rsidRPr="00E13D21" w:rsidRDefault="008C0CCB" w:rsidP="00E13D21">
      <w:pPr>
        <w:spacing w:after="0" w:line="360" w:lineRule="auto"/>
        <w:jc w:val="both"/>
        <w:rPr>
          <w:sz w:val="24"/>
          <w:szCs w:val="24"/>
        </w:rPr>
      </w:pPr>
    </w:p>
    <w:p w14:paraId="102F1585" w14:textId="2324CC42" w:rsidR="008C0CCB" w:rsidRPr="00E13D21" w:rsidRDefault="008C0CCB" w:rsidP="00E13D21">
      <w:pPr>
        <w:spacing w:after="0" w:line="360" w:lineRule="auto"/>
        <w:jc w:val="both"/>
        <w:rPr>
          <w:sz w:val="24"/>
          <w:szCs w:val="24"/>
        </w:rPr>
      </w:pPr>
      <w:r w:rsidRPr="00E13D21">
        <w:rPr>
          <w:sz w:val="24"/>
          <w:szCs w:val="24"/>
        </w:rPr>
        <w:t xml:space="preserve">As regards the ETB and C&amp;C sectors in particular, it should be noted that the DES Planning and Building Unit in Tullamore gauges school needs based on student numbers and corresponding floor area. Schools in the ETB and C&amp;C sectors have a large number of technical rooms, much more that </w:t>
      </w:r>
      <w:r w:rsidR="00E26B92">
        <w:rPr>
          <w:sz w:val="24"/>
          <w:szCs w:val="24"/>
        </w:rPr>
        <w:t>the v</w:t>
      </w:r>
      <w:r w:rsidRPr="00E13D21">
        <w:rPr>
          <w:sz w:val="24"/>
          <w:szCs w:val="24"/>
        </w:rPr>
        <w:t xml:space="preserve">oluntary </w:t>
      </w:r>
      <w:r w:rsidR="00E26B92">
        <w:rPr>
          <w:sz w:val="24"/>
          <w:szCs w:val="24"/>
        </w:rPr>
        <w:t>s</w:t>
      </w:r>
      <w:r w:rsidRPr="00E13D21">
        <w:rPr>
          <w:sz w:val="24"/>
          <w:szCs w:val="24"/>
        </w:rPr>
        <w:t>econdary sector. Technical rooms are, by their nature, much bigger meaning that ETB/C&amp;C schools need a bigger footprint for the same number of students. This leads on to the other issue of cleaning staff which was mentioned above. In effect, the same inadequate staffing levels are provided but there is a bigger area to clean.</w:t>
      </w:r>
    </w:p>
    <w:p w14:paraId="275CE411" w14:textId="77777777" w:rsidR="00E820BE" w:rsidRPr="00E13D21" w:rsidRDefault="00E820BE" w:rsidP="00E13D21">
      <w:pPr>
        <w:spacing w:after="0" w:line="360" w:lineRule="auto"/>
        <w:jc w:val="both"/>
        <w:rPr>
          <w:sz w:val="24"/>
          <w:szCs w:val="24"/>
        </w:rPr>
      </w:pPr>
    </w:p>
    <w:p w14:paraId="5F07899E" w14:textId="36884E7B" w:rsidR="00E820BE" w:rsidRPr="00E13D21" w:rsidRDefault="00E820BE" w:rsidP="00E13D21">
      <w:pPr>
        <w:spacing w:after="0" w:line="360" w:lineRule="auto"/>
        <w:jc w:val="both"/>
        <w:rPr>
          <w:sz w:val="24"/>
          <w:szCs w:val="24"/>
        </w:rPr>
      </w:pPr>
      <w:r w:rsidRPr="00E13D21">
        <w:rPr>
          <w:sz w:val="24"/>
          <w:szCs w:val="24"/>
        </w:rPr>
        <w:t>In the overall context it may be beneficial to allow a 5% contingency for each capital project devolved to an ETB and must be signed off and accounted for by the Employer’s R</w:t>
      </w:r>
      <w:r w:rsidR="007B5316">
        <w:rPr>
          <w:sz w:val="24"/>
          <w:szCs w:val="24"/>
        </w:rPr>
        <w:t>epresentative</w:t>
      </w:r>
      <w:r w:rsidRPr="00E13D21">
        <w:rPr>
          <w:sz w:val="24"/>
          <w:szCs w:val="24"/>
        </w:rPr>
        <w:t xml:space="preserve">.  Furthermore, it should be possible to lower the amount of administration </w:t>
      </w:r>
      <w:r w:rsidRPr="00E13D21">
        <w:rPr>
          <w:sz w:val="24"/>
          <w:szCs w:val="24"/>
        </w:rPr>
        <w:lastRenderedPageBreak/>
        <w:t xml:space="preserve">involved in dealing with the DES.  It should also be possible for ETBs and schools to have direct access to the </w:t>
      </w:r>
      <w:r w:rsidR="007B5316">
        <w:rPr>
          <w:sz w:val="24"/>
          <w:szCs w:val="24"/>
        </w:rPr>
        <w:t xml:space="preserve">DES </w:t>
      </w:r>
      <w:r w:rsidRPr="00E13D21">
        <w:rPr>
          <w:sz w:val="24"/>
          <w:szCs w:val="24"/>
        </w:rPr>
        <w:t xml:space="preserve">Technical Team </w:t>
      </w:r>
      <w:r w:rsidR="00CD4329" w:rsidRPr="00E13D21">
        <w:rPr>
          <w:sz w:val="24"/>
          <w:szCs w:val="24"/>
        </w:rPr>
        <w:t>in terms of accessing assistance</w:t>
      </w:r>
      <w:r w:rsidRPr="00E13D21">
        <w:rPr>
          <w:sz w:val="24"/>
          <w:szCs w:val="24"/>
        </w:rPr>
        <w:t xml:space="preserve"> in progressing projects.</w:t>
      </w:r>
    </w:p>
    <w:p w14:paraId="56AEA821" w14:textId="1E850DF5" w:rsidR="008C0CCB" w:rsidRPr="00E13D21" w:rsidRDefault="008C0CCB" w:rsidP="00E13D21">
      <w:pPr>
        <w:spacing w:after="0" w:line="360" w:lineRule="auto"/>
        <w:jc w:val="both"/>
        <w:rPr>
          <w:sz w:val="24"/>
          <w:szCs w:val="24"/>
        </w:rPr>
      </w:pPr>
    </w:p>
    <w:p w14:paraId="08725E3B" w14:textId="15B77C07" w:rsidR="00CD4329" w:rsidRPr="00E13D21" w:rsidRDefault="00CD4329" w:rsidP="00E13D21">
      <w:pPr>
        <w:spacing w:after="0" w:line="360" w:lineRule="auto"/>
        <w:jc w:val="both"/>
        <w:rPr>
          <w:sz w:val="24"/>
          <w:szCs w:val="24"/>
        </w:rPr>
      </w:pPr>
      <w:r w:rsidRPr="00E13D21">
        <w:rPr>
          <w:sz w:val="24"/>
          <w:szCs w:val="24"/>
        </w:rPr>
        <w:t xml:space="preserve">Some science labs were built thirty years ago and </w:t>
      </w:r>
      <w:r w:rsidR="00AC0E7E">
        <w:rPr>
          <w:sz w:val="24"/>
          <w:szCs w:val="24"/>
        </w:rPr>
        <w:t xml:space="preserve">since then </w:t>
      </w:r>
      <w:r w:rsidRPr="00E13D21">
        <w:rPr>
          <w:sz w:val="24"/>
          <w:szCs w:val="24"/>
        </w:rPr>
        <w:t xml:space="preserve">only updated to the extent of gas proofing or plumbing.  Flooring </w:t>
      </w:r>
      <w:r w:rsidR="003C1482" w:rsidRPr="00E13D21">
        <w:rPr>
          <w:sz w:val="24"/>
          <w:szCs w:val="24"/>
        </w:rPr>
        <w:t xml:space="preserve">is </w:t>
      </w:r>
      <w:r w:rsidRPr="00E13D21">
        <w:rPr>
          <w:sz w:val="24"/>
          <w:szCs w:val="24"/>
        </w:rPr>
        <w:t xml:space="preserve">no longer slip-proof but </w:t>
      </w:r>
      <w:r w:rsidR="003C1482" w:rsidRPr="00E13D21">
        <w:rPr>
          <w:sz w:val="24"/>
          <w:szCs w:val="24"/>
        </w:rPr>
        <w:t xml:space="preserve">making it slip-proof again costs up to €8k </w:t>
      </w:r>
      <w:r w:rsidRPr="00E13D21">
        <w:rPr>
          <w:sz w:val="24"/>
          <w:szCs w:val="24"/>
        </w:rPr>
        <w:t>and that shouldn’t come from capitation.</w:t>
      </w:r>
      <w:r w:rsidR="003C1482" w:rsidRPr="00E13D21">
        <w:rPr>
          <w:sz w:val="24"/>
          <w:szCs w:val="24"/>
        </w:rPr>
        <w:t xml:space="preserve">  Furthermore, the m</w:t>
      </w:r>
      <w:r w:rsidRPr="00E13D21">
        <w:rPr>
          <w:sz w:val="24"/>
          <w:szCs w:val="24"/>
        </w:rPr>
        <w:t xml:space="preserve">aintenance </w:t>
      </w:r>
      <w:r w:rsidR="003C1482" w:rsidRPr="00E13D21">
        <w:rPr>
          <w:sz w:val="24"/>
          <w:szCs w:val="24"/>
        </w:rPr>
        <w:t>guidelines</w:t>
      </w:r>
      <w:r w:rsidRPr="00E13D21">
        <w:rPr>
          <w:sz w:val="24"/>
          <w:szCs w:val="24"/>
        </w:rPr>
        <w:t xml:space="preserve"> from </w:t>
      </w:r>
      <w:r w:rsidR="003C1482" w:rsidRPr="00E13D21">
        <w:rPr>
          <w:sz w:val="24"/>
          <w:szCs w:val="24"/>
        </w:rPr>
        <w:t>the DES date</w:t>
      </w:r>
      <w:r w:rsidRPr="00E13D21">
        <w:rPr>
          <w:sz w:val="24"/>
          <w:szCs w:val="24"/>
        </w:rPr>
        <w:t xml:space="preserve"> back to 1990s.</w:t>
      </w:r>
    </w:p>
    <w:p w14:paraId="568899A3" w14:textId="77777777" w:rsidR="00CD4329" w:rsidRPr="00E13D21" w:rsidRDefault="00CD4329" w:rsidP="00E13D21">
      <w:pPr>
        <w:spacing w:after="0" w:line="360" w:lineRule="auto"/>
        <w:jc w:val="both"/>
        <w:rPr>
          <w:sz w:val="24"/>
          <w:szCs w:val="24"/>
        </w:rPr>
      </w:pPr>
    </w:p>
    <w:p w14:paraId="77B94037" w14:textId="2695A932" w:rsidR="00190B56" w:rsidRPr="00C3579A" w:rsidRDefault="00190B56" w:rsidP="00E13D21">
      <w:pPr>
        <w:spacing w:after="0" w:line="360" w:lineRule="auto"/>
        <w:jc w:val="both"/>
        <w:rPr>
          <w:b/>
          <w:sz w:val="28"/>
          <w:szCs w:val="28"/>
          <w:u w:val="single"/>
        </w:rPr>
      </w:pPr>
      <w:r w:rsidRPr="00C3579A">
        <w:rPr>
          <w:b/>
          <w:sz w:val="28"/>
          <w:szCs w:val="28"/>
          <w:u w:val="single"/>
        </w:rPr>
        <w:t>Temporary Buildings</w:t>
      </w:r>
    </w:p>
    <w:p w14:paraId="4FA2D8F8" w14:textId="46850262" w:rsidR="005C356F" w:rsidRPr="00E13D21" w:rsidRDefault="005C356F" w:rsidP="00E13D21">
      <w:pPr>
        <w:spacing w:after="0" w:line="360" w:lineRule="auto"/>
        <w:jc w:val="both"/>
        <w:rPr>
          <w:rFonts w:cs="Arial"/>
          <w:sz w:val="24"/>
          <w:szCs w:val="24"/>
        </w:rPr>
      </w:pPr>
      <w:r w:rsidRPr="00E13D21">
        <w:rPr>
          <w:rFonts w:cs="Arial"/>
          <w:sz w:val="24"/>
          <w:szCs w:val="24"/>
        </w:rPr>
        <w:t xml:space="preserve">In areas of high demographic growth, there is often significant pressure on existing schools to expand rapidly through the addition of modular buildings (hereby after referred to as pre-fabs).  </w:t>
      </w:r>
      <w:r w:rsidR="00965F1A" w:rsidRPr="00E13D21">
        <w:rPr>
          <w:rFonts w:cs="Arial"/>
          <w:sz w:val="24"/>
          <w:szCs w:val="24"/>
        </w:rPr>
        <w:t>In extreme cases, such pre-fabs have had to be put upon playing fields and playgrounds.  This creates obvious difficulties for schools when they are trying to encourage students to engage in sporting activities.</w:t>
      </w:r>
    </w:p>
    <w:p w14:paraId="15F8C97A" w14:textId="0455FC14" w:rsidR="00965F1A" w:rsidRPr="00E13D21" w:rsidRDefault="00965F1A" w:rsidP="00E13D21">
      <w:pPr>
        <w:spacing w:after="0" w:line="360" w:lineRule="auto"/>
        <w:jc w:val="both"/>
        <w:rPr>
          <w:rFonts w:cs="Arial"/>
          <w:sz w:val="24"/>
          <w:szCs w:val="24"/>
        </w:rPr>
      </w:pPr>
    </w:p>
    <w:p w14:paraId="68E8EA25" w14:textId="77777777" w:rsidR="001C40D8" w:rsidRDefault="001C40D8" w:rsidP="00E13D21">
      <w:pPr>
        <w:spacing w:after="0" w:line="360" w:lineRule="auto"/>
        <w:jc w:val="both"/>
        <w:rPr>
          <w:rFonts w:cs="Arial"/>
          <w:b/>
          <w:sz w:val="28"/>
          <w:szCs w:val="28"/>
          <w:u w:val="single"/>
        </w:rPr>
      </w:pPr>
      <w:r>
        <w:rPr>
          <w:rFonts w:cs="Arial"/>
          <w:b/>
          <w:sz w:val="28"/>
          <w:szCs w:val="28"/>
          <w:u w:val="single"/>
        </w:rPr>
        <w:t>Building Contracts</w:t>
      </w:r>
    </w:p>
    <w:p w14:paraId="6F716687" w14:textId="13E03D2B" w:rsidR="001C40D8" w:rsidRPr="001C40D8" w:rsidRDefault="001C40D8" w:rsidP="00E13D21">
      <w:pPr>
        <w:spacing w:after="0" w:line="360" w:lineRule="auto"/>
        <w:jc w:val="both"/>
        <w:rPr>
          <w:rFonts w:cs="Arial"/>
          <w:sz w:val="24"/>
          <w:szCs w:val="24"/>
        </w:rPr>
      </w:pPr>
      <w:r w:rsidRPr="001C40D8">
        <w:rPr>
          <w:rFonts w:cs="Arial"/>
          <w:sz w:val="24"/>
          <w:szCs w:val="24"/>
        </w:rPr>
        <w:t xml:space="preserve">The TUI has a concern about the possible excessive use of private sector contractors in the school building programme.  Recent difficulties with the equipping and maintenance of schools built under Public Private Partnerships give us pause for thought.  Furthermore, the recent difficulties encountered by some school building projects following the collapse of large contracting firms means that the TUI would prefer that over-reliance on such </w:t>
      </w:r>
      <w:r>
        <w:rPr>
          <w:rFonts w:cs="Arial"/>
          <w:sz w:val="24"/>
          <w:szCs w:val="24"/>
        </w:rPr>
        <w:t xml:space="preserve">types of </w:t>
      </w:r>
      <w:r w:rsidRPr="001C40D8">
        <w:rPr>
          <w:rFonts w:cs="Arial"/>
          <w:sz w:val="24"/>
          <w:szCs w:val="24"/>
        </w:rPr>
        <w:t>contracts should be prevented where possible.</w:t>
      </w:r>
    </w:p>
    <w:p w14:paraId="327EFE78" w14:textId="77777777" w:rsidR="001C40D8" w:rsidRPr="001C40D8" w:rsidRDefault="001C40D8" w:rsidP="00E13D21">
      <w:pPr>
        <w:spacing w:after="0" w:line="360" w:lineRule="auto"/>
        <w:jc w:val="both"/>
        <w:rPr>
          <w:rFonts w:cs="Arial"/>
          <w:sz w:val="24"/>
          <w:szCs w:val="24"/>
        </w:rPr>
      </w:pPr>
    </w:p>
    <w:p w14:paraId="1D62E565" w14:textId="7C7BEA0F" w:rsidR="00190B56" w:rsidRPr="00C3579A" w:rsidRDefault="00190B56" w:rsidP="00E13D21">
      <w:pPr>
        <w:spacing w:after="0" w:line="360" w:lineRule="auto"/>
        <w:jc w:val="both"/>
        <w:rPr>
          <w:rFonts w:cs="Arial"/>
          <w:b/>
          <w:sz w:val="28"/>
          <w:szCs w:val="28"/>
          <w:u w:val="single"/>
        </w:rPr>
      </w:pPr>
      <w:r w:rsidRPr="00C3579A">
        <w:rPr>
          <w:rFonts w:cs="Arial"/>
          <w:b/>
          <w:sz w:val="28"/>
          <w:szCs w:val="28"/>
          <w:u w:val="single"/>
        </w:rPr>
        <w:t>Curricular Needs</w:t>
      </w:r>
    </w:p>
    <w:p w14:paraId="71B44BED" w14:textId="7EC1C287" w:rsidR="00965F1A" w:rsidRPr="00E13D21" w:rsidRDefault="00965F1A" w:rsidP="00E13D21">
      <w:pPr>
        <w:spacing w:after="0" w:line="360" w:lineRule="auto"/>
        <w:jc w:val="both"/>
        <w:rPr>
          <w:rFonts w:cs="Arial"/>
          <w:sz w:val="24"/>
          <w:szCs w:val="24"/>
        </w:rPr>
      </w:pPr>
      <w:r w:rsidRPr="00E13D21">
        <w:rPr>
          <w:rFonts w:cs="Arial"/>
          <w:sz w:val="24"/>
          <w:szCs w:val="24"/>
        </w:rPr>
        <w:t xml:space="preserve">Some schools do not have access to sufficient (or in some cases any) PE hall, science laboratories, home economics kitchens, woodwork/engineering rooms etc.  This will become an even more urgent issue when the revised Junior Cycle is fully rolled out.  Its emphasis on experiential learning requires adequate facilities for such learning to take place.  Recent, and upcoming, changes in Senior Cycle also create a buildings facilities issue.  For example, new exam subjects such as Computer Science and PE have been warmly welcomed by the TUI.  However, it is important that appropriately resourced rooms be available for those subjects </w:t>
      </w:r>
      <w:r w:rsidRPr="00E13D21">
        <w:rPr>
          <w:rFonts w:cs="Arial"/>
          <w:sz w:val="24"/>
          <w:szCs w:val="24"/>
        </w:rPr>
        <w:lastRenderedPageBreak/>
        <w:t xml:space="preserve">to reach their potential.  At present some schools are struggling to provide any room, never mind an appropriately resourced one. </w:t>
      </w:r>
      <w:r w:rsidR="00190B56" w:rsidRPr="00E13D21">
        <w:rPr>
          <w:rFonts w:cs="Arial"/>
          <w:sz w:val="24"/>
          <w:szCs w:val="24"/>
        </w:rPr>
        <w:t xml:space="preserve"> </w:t>
      </w:r>
      <w:r w:rsidR="001C40D8">
        <w:rPr>
          <w:rFonts w:cs="Arial"/>
          <w:sz w:val="24"/>
          <w:szCs w:val="24"/>
        </w:rPr>
        <w:t xml:space="preserve">This also applies to curricular programmes such as Leaving Certificate Applied, Leaving Certificate Vocational and Transition Year.  Each of those programmes requires students to have access to rooms which facilitate group activities.  </w:t>
      </w:r>
      <w:r w:rsidR="00190B56" w:rsidRPr="00E13D21">
        <w:rPr>
          <w:rFonts w:cs="Arial"/>
          <w:sz w:val="24"/>
          <w:szCs w:val="24"/>
        </w:rPr>
        <w:t>Sports halls and canteen facilities should be available by default in all new builds irrespective of size and the Summer Works Scheme should be extended with a ring</w:t>
      </w:r>
      <w:r w:rsidR="00AA4D12" w:rsidRPr="00E13D21">
        <w:rPr>
          <w:rFonts w:cs="Arial"/>
          <w:sz w:val="24"/>
          <w:szCs w:val="24"/>
        </w:rPr>
        <w:t>-</w:t>
      </w:r>
      <w:r w:rsidR="00190B56" w:rsidRPr="00E13D21">
        <w:rPr>
          <w:rFonts w:cs="Arial"/>
          <w:sz w:val="24"/>
          <w:szCs w:val="24"/>
        </w:rPr>
        <w:t>fenced budget to retro fit schools with gym and eating facilities (hot kitchen etc</w:t>
      </w:r>
      <w:r w:rsidR="00372A96">
        <w:rPr>
          <w:rFonts w:cs="Arial"/>
          <w:sz w:val="24"/>
          <w:szCs w:val="24"/>
        </w:rPr>
        <w:t>)</w:t>
      </w:r>
      <w:r w:rsidR="00190B56" w:rsidRPr="00E13D21">
        <w:rPr>
          <w:rFonts w:cs="Arial"/>
          <w:sz w:val="24"/>
          <w:szCs w:val="24"/>
        </w:rPr>
        <w:t>.</w:t>
      </w:r>
    </w:p>
    <w:p w14:paraId="1CD2A8F8" w14:textId="77777777" w:rsidR="00AA4D12" w:rsidRPr="00E13D21" w:rsidRDefault="00AA4D12" w:rsidP="00C3579A">
      <w:pPr>
        <w:spacing w:after="0" w:line="360" w:lineRule="auto"/>
        <w:jc w:val="both"/>
        <w:rPr>
          <w:rFonts w:cs="Arial"/>
          <w:sz w:val="24"/>
          <w:szCs w:val="24"/>
        </w:rPr>
      </w:pPr>
    </w:p>
    <w:p w14:paraId="1C748E81" w14:textId="1BAE9101" w:rsidR="004900D4" w:rsidRPr="00E13D21" w:rsidRDefault="00AA4D12" w:rsidP="00E13D21">
      <w:pPr>
        <w:spacing w:line="360" w:lineRule="auto"/>
        <w:jc w:val="both"/>
        <w:rPr>
          <w:rFonts w:cs="Arial"/>
          <w:sz w:val="24"/>
          <w:szCs w:val="24"/>
        </w:rPr>
      </w:pPr>
      <w:r w:rsidRPr="00E13D21">
        <w:rPr>
          <w:rFonts w:cs="Arial"/>
          <w:sz w:val="24"/>
          <w:szCs w:val="24"/>
        </w:rPr>
        <w:t>In relation to ICT in particular, the TUI notes the current debate on mobile ICT devices and the DES Digital Strategy.  The TUI does not intend to comment on either in this submission as the TUI previously addressed the issue in a submission to the DES in 2014.  However, there is an issue which does aris</w:t>
      </w:r>
      <w:r w:rsidR="00372A96">
        <w:rPr>
          <w:rFonts w:cs="Arial"/>
          <w:sz w:val="24"/>
          <w:szCs w:val="24"/>
        </w:rPr>
        <w:t>e in relation to buildings and I</w:t>
      </w:r>
      <w:r w:rsidRPr="00E13D21">
        <w:rPr>
          <w:rFonts w:cs="Arial"/>
          <w:sz w:val="24"/>
          <w:szCs w:val="24"/>
        </w:rPr>
        <w:t xml:space="preserve">CT.  It is important that an adequately resourced system of hardware, software and ICT infrastructure be provided in all school buildings.  In relation to hardware, tablets have their uses but are often not suitable for quality project work as required for Junior Cycle. </w:t>
      </w:r>
      <w:r w:rsidR="00C3579A" w:rsidRPr="00E13D21">
        <w:rPr>
          <w:rFonts w:cs="Arial"/>
          <w:sz w:val="24"/>
          <w:szCs w:val="24"/>
        </w:rPr>
        <w:t>Furthermore</w:t>
      </w:r>
      <w:r w:rsidRPr="00E13D21">
        <w:rPr>
          <w:rFonts w:cs="Arial"/>
          <w:sz w:val="24"/>
          <w:szCs w:val="24"/>
        </w:rPr>
        <w:t xml:space="preserve">, the ICT grant issuing each year, while very welcome, is barely enough to renew existing outdated and worn out hardware. </w:t>
      </w:r>
    </w:p>
    <w:p w14:paraId="516812D3" w14:textId="77777777" w:rsidR="00AA4D12" w:rsidRPr="00E13D21" w:rsidRDefault="00AA4D12" w:rsidP="00C3579A">
      <w:pPr>
        <w:spacing w:after="0" w:line="360" w:lineRule="auto"/>
        <w:jc w:val="both"/>
        <w:rPr>
          <w:rFonts w:cs="Arial"/>
          <w:b/>
          <w:sz w:val="24"/>
          <w:szCs w:val="24"/>
          <w:u w:val="single"/>
        </w:rPr>
      </w:pPr>
    </w:p>
    <w:p w14:paraId="327E2EA9" w14:textId="6CFD6DBE" w:rsidR="00190B56" w:rsidRPr="00C3579A" w:rsidRDefault="00190B56" w:rsidP="00C3579A">
      <w:pPr>
        <w:spacing w:after="0" w:line="360" w:lineRule="auto"/>
        <w:jc w:val="both"/>
        <w:rPr>
          <w:rFonts w:cs="Arial"/>
          <w:b/>
          <w:sz w:val="28"/>
          <w:szCs w:val="28"/>
          <w:u w:val="single"/>
        </w:rPr>
      </w:pPr>
      <w:r w:rsidRPr="00C3579A">
        <w:rPr>
          <w:rFonts w:cs="Arial"/>
          <w:b/>
          <w:sz w:val="28"/>
          <w:szCs w:val="28"/>
          <w:u w:val="single"/>
        </w:rPr>
        <w:t>Further Education (FE)</w:t>
      </w:r>
    </w:p>
    <w:p w14:paraId="4E93FE01" w14:textId="2CB51FA9" w:rsidR="004900D4" w:rsidRPr="00E13D21" w:rsidRDefault="00190B56" w:rsidP="00C3579A">
      <w:pPr>
        <w:spacing w:after="0" w:line="360" w:lineRule="auto"/>
        <w:jc w:val="both"/>
        <w:rPr>
          <w:rFonts w:cs="Arial"/>
          <w:sz w:val="24"/>
          <w:szCs w:val="24"/>
        </w:rPr>
      </w:pPr>
      <w:r w:rsidRPr="00E13D21">
        <w:rPr>
          <w:rFonts w:cs="Arial"/>
          <w:sz w:val="24"/>
          <w:szCs w:val="24"/>
        </w:rPr>
        <w:t xml:space="preserve">The FE sector often has very particular needs both due to the </w:t>
      </w:r>
      <w:r w:rsidR="004900D4" w:rsidRPr="00E13D21">
        <w:rPr>
          <w:rFonts w:cs="Arial"/>
          <w:sz w:val="24"/>
          <w:szCs w:val="24"/>
        </w:rPr>
        <w:t>Increased</w:t>
      </w:r>
      <w:r w:rsidRPr="00E13D21">
        <w:rPr>
          <w:rFonts w:cs="Arial"/>
          <w:sz w:val="24"/>
          <w:szCs w:val="24"/>
        </w:rPr>
        <w:t xml:space="preserve"> specialisation </w:t>
      </w:r>
      <w:r w:rsidR="00C3579A" w:rsidRPr="00E13D21">
        <w:rPr>
          <w:rFonts w:cs="Arial"/>
          <w:sz w:val="24"/>
          <w:szCs w:val="24"/>
        </w:rPr>
        <w:t>for</w:t>
      </w:r>
      <w:r w:rsidRPr="00E13D21">
        <w:rPr>
          <w:rFonts w:cs="Arial"/>
          <w:sz w:val="24"/>
          <w:szCs w:val="24"/>
        </w:rPr>
        <w:t xml:space="preserve"> the programmes provided, the numbers of students present and the older age profile of those students.  It is vital that adequate</w:t>
      </w:r>
      <w:r w:rsidR="00372A96">
        <w:rPr>
          <w:rFonts w:cs="Arial"/>
          <w:sz w:val="24"/>
          <w:szCs w:val="24"/>
        </w:rPr>
        <w:t xml:space="preserve"> funding is required for FE</w:t>
      </w:r>
      <w:r w:rsidR="004900D4" w:rsidRPr="00E13D21">
        <w:rPr>
          <w:rFonts w:cs="Arial"/>
          <w:sz w:val="24"/>
          <w:szCs w:val="24"/>
        </w:rPr>
        <w:t xml:space="preserve"> capital projects</w:t>
      </w:r>
      <w:r w:rsidRPr="00E13D21">
        <w:rPr>
          <w:rFonts w:cs="Arial"/>
          <w:sz w:val="24"/>
          <w:szCs w:val="24"/>
        </w:rPr>
        <w:t>.</w:t>
      </w:r>
    </w:p>
    <w:p w14:paraId="4013CC7D" w14:textId="77777777" w:rsidR="0013023F" w:rsidRPr="00E13D21" w:rsidRDefault="0013023F" w:rsidP="00E13D21">
      <w:pPr>
        <w:spacing w:after="0" w:line="360" w:lineRule="auto"/>
        <w:jc w:val="both"/>
        <w:rPr>
          <w:rFonts w:cs="Arial"/>
          <w:b/>
          <w:sz w:val="24"/>
          <w:szCs w:val="24"/>
          <w:u w:val="single"/>
        </w:rPr>
      </w:pPr>
    </w:p>
    <w:p w14:paraId="5D1DDF76" w14:textId="77777777" w:rsidR="00E820BE" w:rsidRPr="00C3579A" w:rsidRDefault="0013023F" w:rsidP="00E13D21">
      <w:pPr>
        <w:spacing w:after="0" w:line="360" w:lineRule="auto"/>
        <w:jc w:val="both"/>
        <w:rPr>
          <w:rFonts w:cs="Arial"/>
          <w:b/>
          <w:sz w:val="28"/>
          <w:szCs w:val="28"/>
          <w:u w:val="single"/>
        </w:rPr>
      </w:pPr>
      <w:bookmarkStart w:id="4" w:name="_Hlk520295006"/>
      <w:r w:rsidRPr="00C3579A">
        <w:rPr>
          <w:rFonts w:cs="Arial"/>
          <w:b/>
          <w:sz w:val="28"/>
          <w:szCs w:val="28"/>
          <w:u w:val="single"/>
        </w:rPr>
        <w:t>New schools temporarily being housed in primary schools</w:t>
      </w:r>
    </w:p>
    <w:bookmarkEnd w:id="4"/>
    <w:p w14:paraId="6C3F3CB9" w14:textId="2E2AB450" w:rsidR="0013023F" w:rsidRPr="00E13D21" w:rsidRDefault="00E820BE" w:rsidP="00E13D21">
      <w:pPr>
        <w:spacing w:after="0" w:line="360" w:lineRule="auto"/>
        <w:jc w:val="both"/>
        <w:rPr>
          <w:rFonts w:cs="Arial"/>
          <w:sz w:val="24"/>
          <w:szCs w:val="24"/>
        </w:rPr>
      </w:pPr>
      <w:r w:rsidRPr="00E13D21">
        <w:rPr>
          <w:rFonts w:cs="Arial"/>
          <w:sz w:val="24"/>
          <w:szCs w:val="24"/>
        </w:rPr>
        <w:t xml:space="preserve">To begin with, the TUI would like to put on record the gratitude </w:t>
      </w:r>
      <w:r w:rsidR="00372A96">
        <w:rPr>
          <w:rFonts w:cs="Arial"/>
          <w:sz w:val="24"/>
          <w:szCs w:val="24"/>
        </w:rPr>
        <w:t>of our members to our colleague</w:t>
      </w:r>
      <w:r w:rsidRPr="00E13D21">
        <w:rPr>
          <w:rFonts w:cs="Arial"/>
          <w:sz w:val="24"/>
          <w:szCs w:val="24"/>
        </w:rPr>
        <w:t>s</w:t>
      </w:r>
      <w:r w:rsidR="00372A96">
        <w:rPr>
          <w:rFonts w:cs="Arial"/>
          <w:sz w:val="24"/>
          <w:szCs w:val="24"/>
        </w:rPr>
        <w:t xml:space="preserve"> </w:t>
      </w:r>
      <w:r w:rsidRPr="00E13D21">
        <w:rPr>
          <w:rFonts w:cs="Arial"/>
          <w:sz w:val="24"/>
          <w:szCs w:val="24"/>
        </w:rPr>
        <w:t>in the primary sector for the</w:t>
      </w:r>
      <w:r w:rsidR="0013023F" w:rsidRPr="00E13D21">
        <w:rPr>
          <w:rFonts w:cs="Arial"/>
          <w:sz w:val="24"/>
          <w:szCs w:val="24"/>
        </w:rPr>
        <w:t xml:space="preserve"> goodwill </w:t>
      </w:r>
      <w:r w:rsidRPr="00E13D21">
        <w:rPr>
          <w:rFonts w:cs="Arial"/>
          <w:sz w:val="24"/>
          <w:szCs w:val="24"/>
        </w:rPr>
        <w:t>shown by</w:t>
      </w:r>
      <w:r w:rsidR="0013023F" w:rsidRPr="00E13D21">
        <w:rPr>
          <w:rFonts w:cs="Arial"/>
          <w:sz w:val="24"/>
          <w:szCs w:val="24"/>
        </w:rPr>
        <w:t xml:space="preserve"> primary school</w:t>
      </w:r>
      <w:r w:rsidRPr="00E13D21">
        <w:rPr>
          <w:rFonts w:cs="Arial"/>
          <w:sz w:val="24"/>
          <w:szCs w:val="24"/>
        </w:rPr>
        <w:t>s</w:t>
      </w:r>
      <w:r w:rsidR="0013023F" w:rsidRPr="00E13D21">
        <w:rPr>
          <w:rFonts w:cs="Arial"/>
          <w:sz w:val="24"/>
          <w:szCs w:val="24"/>
        </w:rPr>
        <w:t xml:space="preserve"> ‘hosting’ second-level</w:t>
      </w:r>
      <w:r w:rsidRPr="00E13D21">
        <w:rPr>
          <w:rFonts w:cs="Arial"/>
          <w:sz w:val="24"/>
          <w:szCs w:val="24"/>
        </w:rPr>
        <w:t xml:space="preserve"> schools </w:t>
      </w:r>
      <w:r w:rsidR="00372A96">
        <w:rPr>
          <w:rFonts w:cs="Arial"/>
          <w:sz w:val="24"/>
          <w:szCs w:val="24"/>
        </w:rPr>
        <w:t>while</w:t>
      </w:r>
      <w:r w:rsidRPr="00E13D21">
        <w:rPr>
          <w:rFonts w:cs="Arial"/>
          <w:sz w:val="24"/>
          <w:szCs w:val="24"/>
        </w:rPr>
        <w:t xml:space="preserve"> awaiting the construction of their own building.  However, despite the best efforts of all involved, a number of problems frequently crop up in these scenarios:</w:t>
      </w:r>
    </w:p>
    <w:p w14:paraId="3DE00DA7" w14:textId="6B70381F" w:rsidR="0013023F" w:rsidRPr="00E13D21" w:rsidRDefault="0013023F" w:rsidP="00E13D21">
      <w:pPr>
        <w:pStyle w:val="ListParagraph"/>
        <w:numPr>
          <w:ilvl w:val="0"/>
          <w:numId w:val="24"/>
        </w:numPr>
        <w:spacing w:after="0" w:line="360" w:lineRule="auto"/>
        <w:jc w:val="both"/>
        <w:rPr>
          <w:rFonts w:cs="Arial"/>
          <w:sz w:val="24"/>
          <w:szCs w:val="24"/>
        </w:rPr>
      </w:pPr>
      <w:r w:rsidRPr="00E13D21">
        <w:rPr>
          <w:rFonts w:cs="Arial"/>
          <w:sz w:val="24"/>
          <w:szCs w:val="24"/>
        </w:rPr>
        <w:t>Science lab</w:t>
      </w:r>
      <w:r w:rsidR="00926098">
        <w:rPr>
          <w:rFonts w:cs="Arial"/>
          <w:sz w:val="24"/>
          <w:szCs w:val="24"/>
        </w:rPr>
        <w:t>oratory</w:t>
      </w:r>
      <w:r w:rsidRPr="00E13D21">
        <w:rPr>
          <w:rFonts w:cs="Arial"/>
          <w:sz w:val="24"/>
          <w:szCs w:val="24"/>
        </w:rPr>
        <w:t xml:space="preserve">.  </w:t>
      </w:r>
      <w:r w:rsidR="00E820BE" w:rsidRPr="00E13D21">
        <w:rPr>
          <w:rFonts w:cs="Arial"/>
          <w:sz w:val="24"/>
          <w:szCs w:val="24"/>
        </w:rPr>
        <w:t xml:space="preserve">In some </w:t>
      </w:r>
      <w:r w:rsidR="00C3579A" w:rsidRPr="00E13D21">
        <w:rPr>
          <w:rFonts w:cs="Arial"/>
          <w:sz w:val="24"/>
          <w:szCs w:val="24"/>
        </w:rPr>
        <w:t>cases,</w:t>
      </w:r>
      <w:r w:rsidR="00E820BE" w:rsidRPr="00E13D21">
        <w:rPr>
          <w:rFonts w:cs="Arial"/>
          <w:sz w:val="24"/>
          <w:szCs w:val="24"/>
        </w:rPr>
        <w:t xml:space="preserve"> a general classroom has had a label put on the door calling it </w:t>
      </w:r>
      <w:r w:rsidRPr="00E13D21">
        <w:rPr>
          <w:rFonts w:cs="Arial"/>
          <w:sz w:val="24"/>
          <w:szCs w:val="24"/>
        </w:rPr>
        <w:t xml:space="preserve">a science lab but </w:t>
      </w:r>
      <w:r w:rsidR="00E820BE" w:rsidRPr="00E13D21">
        <w:rPr>
          <w:rFonts w:cs="Arial"/>
          <w:sz w:val="24"/>
          <w:szCs w:val="24"/>
        </w:rPr>
        <w:t xml:space="preserve">may </w:t>
      </w:r>
      <w:r w:rsidR="00C3579A" w:rsidRPr="00E13D21">
        <w:rPr>
          <w:rFonts w:cs="Arial"/>
          <w:sz w:val="24"/>
          <w:szCs w:val="24"/>
        </w:rPr>
        <w:t>only</w:t>
      </w:r>
      <w:r w:rsidRPr="00E13D21">
        <w:rPr>
          <w:rFonts w:cs="Arial"/>
          <w:sz w:val="24"/>
          <w:szCs w:val="24"/>
        </w:rPr>
        <w:t xml:space="preserve"> </w:t>
      </w:r>
      <w:r w:rsidR="00E820BE" w:rsidRPr="00E13D21">
        <w:rPr>
          <w:rFonts w:cs="Arial"/>
          <w:sz w:val="24"/>
          <w:szCs w:val="24"/>
        </w:rPr>
        <w:t xml:space="preserve">have </w:t>
      </w:r>
      <w:r w:rsidRPr="00E13D21">
        <w:rPr>
          <w:rFonts w:cs="Arial"/>
          <w:sz w:val="24"/>
          <w:szCs w:val="24"/>
        </w:rPr>
        <w:t xml:space="preserve">a sink.  </w:t>
      </w:r>
      <w:r w:rsidR="00E820BE" w:rsidRPr="00E13D21">
        <w:rPr>
          <w:rFonts w:cs="Arial"/>
          <w:sz w:val="24"/>
          <w:szCs w:val="24"/>
        </w:rPr>
        <w:t>There is n</w:t>
      </w:r>
      <w:r w:rsidRPr="00E13D21">
        <w:rPr>
          <w:rFonts w:cs="Arial"/>
          <w:sz w:val="24"/>
          <w:szCs w:val="24"/>
        </w:rPr>
        <w:t xml:space="preserve">o gas etc.  </w:t>
      </w:r>
      <w:r w:rsidR="00E820BE" w:rsidRPr="00E13D21">
        <w:rPr>
          <w:rFonts w:cs="Arial"/>
          <w:sz w:val="24"/>
          <w:szCs w:val="24"/>
        </w:rPr>
        <w:t xml:space="preserve">It is sometimes on the </w:t>
      </w:r>
      <w:r w:rsidRPr="00E13D21">
        <w:rPr>
          <w:rFonts w:cs="Arial"/>
          <w:sz w:val="24"/>
          <w:szCs w:val="24"/>
        </w:rPr>
        <w:t xml:space="preserve">top floor of </w:t>
      </w:r>
      <w:r w:rsidR="00E820BE" w:rsidRPr="00E13D21">
        <w:rPr>
          <w:rFonts w:cs="Arial"/>
          <w:sz w:val="24"/>
          <w:szCs w:val="24"/>
        </w:rPr>
        <w:t xml:space="preserve">the </w:t>
      </w:r>
      <w:r w:rsidRPr="00E13D21">
        <w:rPr>
          <w:rFonts w:cs="Arial"/>
          <w:sz w:val="24"/>
          <w:szCs w:val="24"/>
        </w:rPr>
        <w:t xml:space="preserve">building so can’t </w:t>
      </w:r>
      <w:r w:rsidR="00E820BE" w:rsidRPr="00E13D21">
        <w:rPr>
          <w:rFonts w:cs="Arial"/>
          <w:sz w:val="24"/>
          <w:szCs w:val="24"/>
        </w:rPr>
        <w:t>even use</w:t>
      </w:r>
      <w:r w:rsidRPr="00E13D21">
        <w:rPr>
          <w:rFonts w:cs="Arial"/>
          <w:sz w:val="24"/>
          <w:szCs w:val="24"/>
        </w:rPr>
        <w:t xml:space="preserve"> gas cylinders </w:t>
      </w:r>
      <w:r w:rsidR="00E820BE" w:rsidRPr="00E13D21">
        <w:rPr>
          <w:rFonts w:cs="Arial"/>
          <w:sz w:val="24"/>
          <w:szCs w:val="24"/>
        </w:rPr>
        <w:t>due to</w:t>
      </w:r>
      <w:r w:rsidRPr="00E13D21">
        <w:rPr>
          <w:rFonts w:cs="Arial"/>
          <w:sz w:val="24"/>
          <w:szCs w:val="24"/>
        </w:rPr>
        <w:t xml:space="preserve"> health and safety </w:t>
      </w:r>
      <w:r w:rsidR="00E820BE" w:rsidRPr="00E13D21">
        <w:rPr>
          <w:rFonts w:cs="Arial"/>
          <w:sz w:val="24"/>
          <w:szCs w:val="24"/>
        </w:rPr>
        <w:t>concern</w:t>
      </w:r>
      <w:r w:rsidRPr="00E13D21">
        <w:rPr>
          <w:rFonts w:cs="Arial"/>
          <w:sz w:val="24"/>
          <w:szCs w:val="24"/>
        </w:rPr>
        <w:t xml:space="preserve">s.  </w:t>
      </w:r>
      <w:r w:rsidR="00E820BE" w:rsidRPr="00E13D21">
        <w:rPr>
          <w:rFonts w:cs="Arial"/>
          <w:sz w:val="24"/>
          <w:szCs w:val="24"/>
        </w:rPr>
        <w:t>It is</w:t>
      </w:r>
      <w:r w:rsidRPr="00E13D21">
        <w:rPr>
          <w:rFonts w:cs="Arial"/>
          <w:sz w:val="24"/>
          <w:szCs w:val="24"/>
        </w:rPr>
        <w:t xml:space="preserve"> really a Science lab</w:t>
      </w:r>
      <w:r w:rsidR="00926098">
        <w:rPr>
          <w:rFonts w:cs="Arial"/>
          <w:sz w:val="24"/>
          <w:szCs w:val="24"/>
        </w:rPr>
        <w:t>oratory</w:t>
      </w:r>
      <w:r w:rsidRPr="00E13D21">
        <w:rPr>
          <w:rFonts w:cs="Arial"/>
          <w:sz w:val="24"/>
          <w:szCs w:val="24"/>
        </w:rPr>
        <w:t xml:space="preserve"> in name only.</w:t>
      </w:r>
    </w:p>
    <w:p w14:paraId="3E51C3BC" w14:textId="0836C7FD" w:rsidR="0013023F" w:rsidRPr="00E13D21" w:rsidRDefault="00E820BE" w:rsidP="00E13D21">
      <w:pPr>
        <w:pStyle w:val="ListParagraph"/>
        <w:numPr>
          <w:ilvl w:val="0"/>
          <w:numId w:val="24"/>
        </w:numPr>
        <w:spacing w:after="0" w:line="360" w:lineRule="auto"/>
        <w:jc w:val="both"/>
        <w:rPr>
          <w:rFonts w:cs="Arial"/>
          <w:sz w:val="24"/>
          <w:szCs w:val="24"/>
        </w:rPr>
      </w:pPr>
      <w:r w:rsidRPr="00E13D21">
        <w:rPr>
          <w:rFonts w:cs="Arial"/>
          <w:sz w:val="24"/>
          <w:szCs w:val="24"/>
        </w:rPr>
        <w:lastRenderedPageBreak/>
        <w:t>In a similar manner to the Science lab</w:t>
      </w:r>
      <w:r w:rsidR="00926098">
        <w:rPr>
          <w:rFonts w:cs="Arial"/>
          <w:sz w:val="24"/>
          <w:szCs w:val="24"/>
        </w:rPr>
        <w:t>oratory</w:t>
      </w:r>
      <w:r w:rsidRPr="00E13D21">
        <w:rPr>
          <w:rFonts w:cs="Arial"/>
          <w:sz w:val="24"/>
          <w:szCs w:val="24"/>
        </w:rPr>
        <w:t>, a general c</w:t>
      </w:r>
      <w:r w:rsidR="0013023F" w:rsidRPr="00E13D21">
        <w:rPr>
          <w:rFonts w:cs="Arial"/>
          <w:sz w:val="24"/>
          <w:szCs w:val="24"/>
        </w:rPr>
        <w:t xml:space="preserve">lassroom </w:t>
      </w:r>
      <w:r w:rsidRPr="00E13D21">
        <w:rPr>
          <w:rFonts w:cs="Arial"/>
          <w:sz w:val="24"/>
          <w:szCs w:val="24"/>
        </w:rPr>
        <w:t xml:space="preserve">may be </w:t>
      </w:r>
      <w:r w:rsidR="0013023F" w:rsidRPr="00E13D21">
        <w:rPr>
          <w:rFonts w:cs="Arial"/>
          <w:sz w:val="24"/>
          <w:szCs w:val="24"/>
        </w:rPr>
        <w:t>called a Home Ec</w:t>
      </w:r>
      <w:r w:rsidR="00372A96">
        <w:rPr>
          <w:rFonts w:cs="Arial"/>
          <w:sz w:val="24"/>
          <w:szCs w:val="24"/>
        </w:rPr>
        <w:t>onomics</w:t>
      </w:r>
      <w:r w:rsidR="0013023F" w:rsidRPr="00E13D21">
        <w:rPr>
          <w:rFonts w:cs="Arial"/>
          <w:sz w:val="24"/>
          <w:szCs w:val="24"/>
        </w:rPr>
        <w:t xml:space="preserve"> room but only </w:t>
      </w:r>
      <w:r w:rsidRPr="00E13D21">
        <w:rPr>
          <w:rFonts w:cs="Arial"/>
          <w:sz w:val="24"/>
          <w:szCs w:val="24"/>
        </w:rPr>
        <w:t xml:space="preserve">have </w:t>
      </w:r>
      <w:r w:rsidR="0013023F" w:rsidRPr="00E13D21">
        <w:rPr>
          <w:rFonts w:cs="Arial"/>
          <w:sz w:val="24"/>
          <w:szCs w:val="24"/>
        </w:rPr>
        <w:t>four cookers.</w:t>
      </w:r>
      <w:r w:rsidRPr="00E13D21">
        <w:rPr>
          <w:rFonts w:cs="Arial"/>
          <w:sz w:val="24"/>
          <w:szCs w:val="24"/>
        </w:rPr>
        <w:t xml:space="preserve">  This is clearly not adequate for a full Home Economics class.</w:t>
      </w:r>
    </w:p>
    <w:p w14:paraId="19A95F8B" w14:textId="2A8DFCD8" w:rsidR="0013023F" w:rsidRPr="00E13D21" w:rsidRDefault="00372A96" w:rsidP="00E13D21">
      <w:pPr>
        <w:pStyle w:val="ListParagraph"/>
        <w:numPr>
          <w:ilvl w:val="0"/>
          <w:numId w:val="24"/>
        </w:numPr>
        <w:spacing w:after="0" w:line="360" w:lineRule="auto"/>
        <w:jc w:val="both"/>
        <w:rPr>
          <w:rFonts w:cs="Arial"/>
          <w:sz w:val="24"/>
          <w:szCs w:val="24"/>
        </w:rPr>
      </w:pPr>
      <w:r>
        <w:rPr>
          <w:rFonts w:cs="Arial"/>
          <w:sz w:val="24"/>
          <w:szCs w:val="24"/>
        </w:rPr>
        <w:t>At least o</w:t>
      </w:r>
      <w:r w:rsidR="00E820BE" w:rsidRPr="00E13D21">
        <w:rPr>
          <w:rFonts w:cs="Arial"/>
          <w:sz w:val="24"/>
          <w:szCs w:val="24"/>
        </w:rPr>
        <w:t>ne school had to take</w:t>
      </w:r>
      <w:r w:rsidR="0013023F" w:rsidRPr="00E13D21">
        <w:rPr>
          <w:rFonts w:cs="Arial"/>
          <w:sz w:val="24"/>
          <w:szCs w:val="24"/>
        </w:rPr>
        <w:t xml:space="preserve"> Technology off the timetable as no subject </w:t>
      </w:r>
      <w:r w:rsidR="00926098" w:rsidRPr="00E13D21">
        <w:rPr>
          <w:rFonts w:cs="Arial"/>
          <w:sz w:val="24"/>
          <w:szCs w:val="24"/>
        </w:rPr>
        <w:t xml:space="preserve">specific </w:t>
      </w:r>
      <w:r w:rsidR="0013023F" w:rsidRPr="00E13D21">
        <w:rPr>
          <w:rFonts w:cs="Arial"/>
          <w:sz w:val="24"/>
          <w:szCs w:val="24"/>
        </w:rPr>
        <w:t xml:space="preserve">facilities </w:t>
      </w:r>
      <w:r w:rsidR="00926098">
        <w:rPr>
          <w:rFonts w:cs="Arial"/>
          <w:sz w:val="24"/>
          <w:szCs w:val="24"/>
        </w:rPr>
        <w:t xml:space="preserve">were </w:t>
      </w:r>
      <w:r w:rsidR="0013023F" w:rsidRPr="00E13D21">
        <w:rPr>
          <w:rFonts w:cs="Arial"/>
          <w:sz w:val="24"/>
          <w:szCs w:val="24"/>
        </w:rPr>
        <w:t>available.</w:t>
      </w:r>
      <w:r w:rsidR="00E820BE" w:rsidRPr="00E13D21">
        <w:rPr>
          <w:rFonts w:cs="Arial"/>
          <w:sz w:val="24"/>
          <w:szCs w:val="24"/>
        </w:rPr>
        <w:t xml:space="preserve">  This was despite the intense desire of the school to provide as many STEM subjects as possible.</w:t>
      </w:r>
    </w:p>
    <w:p w14:paraId="41339E83" w14:textId="704EF11F" w:rsidR="0013023F" w:rsidRPr="00E13D21" w:rsidRDefault="00E820BE" w:rsidP="00E13D21">
      <w:pPr>
        <w:pStyle w:val="ListParagraph"/>
        <w:numPr>
          <w:ilvl w:val="0"/>
          <w:numId w:val="24"/>
        </w:numPr>
        <w:spacing w:after="0" w:line="360" w:lineRule="auto"/>
        <w:jc w:val="both"/>
        <w:rPr>
          <w:rFonts w:cs="Arial"/>
          <w:sz w:val="24"/>
          <w:szCs w:val="24"/>
        </w:rPr>
      </w:pPr>
      <w:r w:rsidRPr="00E13D21">
        <w:rPr>
          <w:rFonts w:cs="Arial"/>
          <w:sz w:val="24"/>
          <w:szCs w:val="24"/>
        </w:rPr>
        <w:t xml:space="preserve">In one school, a </w:t>
      </w:r>
      <w:r w:rsidR="0013023F" w:rsidRPr="00E13D21">
        <w:rPr>
          <w:rFonts w:cs="Arial"/>
          <w:sz w:val="24"/>
          <w:szCs w:val="24"/>
        </w:rPr>
        <w:t>Science lab</w:t>
      </w:r>
      <w:r w:rsidR="00926098">
        <w:rPr>
          <w:rFonts w:cs="Arial"/>
          <w:sz w:val="24"/>
          <w:szCs w:val="24"/>
        </w:rPr>
        <w:t>oratory</w:t>
      </w:r>
      <w:r w:rsidR="0013023F" w:rsidRPr="00E13D21">
        <w:rPr>
          <w:rFonts w:cs="Arial"/>
          <w:sz w:val="24"/>
          <w:szCs w:val="24"/>
        </w:rPr>
        <w:t xml:space="preserve"> and </w:t>
      </w:r>
      <w:r w:rsidRPr="00E13D21">
        <w:rPr>
          <w:rFonts w:cs="Arial"/>
          <w:sz w:val="24"/>
          <w:szCs w:val="24"/>
        </w:rPr>
        <w:t xml:space="preserve">a </w:t>
      </w:r>
      <w:r w:rsidR="0013023F" w:rsidRPr="00E13D21">
        <w:rPr>
          <w:rFonts w:cs="Arial"/>
          <w:sz w:val="24"/>
          <w:szCs w:val="24"/>
        </w:rPr>
        <w:t>Home Ec</w:t>
      </w:r>
      <w:r w:rsidR="003C1482" w:rsidRPr="00E13D21">
        <w:rPr>
          <w:rFonts w:cs="Arial"/>
          <w:sz w:val="24"/>
          <w:szCs w:val="24"/>
        </w:rPr>
        <w:t>onomics</w:t>
      </w:r>
      <w:r w:rsidR="0013023F" w:rsidRPr="00E13D21">
        <w:rPr>
          <w:rFonts w:cs="Arial"/>
          <w:sz w:val="24"/>
          <w:szCs w:val="24"/>
        </w:rPr>
        <w:t xml:space="preserve"> room </w:t>
      </w:r>
      <w:r w:rsidRPr="00E13D21">
        <w:rPr>
          <w:rFonts w:cs="Arial"/>
          <w:sz w:val="24"/>
          <w:szCs w:val="24"/>
        </w:rPr>
        <w:t>were bizarrely in</w:t>
      </w:r>
      <w:r w:rsidR="0013023F" w:rsidRPr="00E13D21">
        <w:rPr>
          <w:rFonts w:cs="Arial"/>
          <w:sz w:val="24"/>
          <w:szCs w:val="24"/>
        </w:rPr>
        <w:t xml:space="preserve"> one </w:t>
      </w:r>
      <w:r w:rsidRPr="00E13D21">
        <w:rPr>
          <w:rFonts w:cs="Arial"/>
          <w:sz w:val="24"/>
          <w:szCs w:val="24"/>
        </w:rPr>
        <w:t xml:space="preserve">single </w:t>
      </w:r>
      <w:r w:rsidR="0013023F" w:rsidRPr="00E13D21">
        <w:rPr>
          <w:rFonts w:cs="Arial"/>
          <w:sz w:val="24"/>
          <w:szCs w:val="24"/>
        </w:rPr>
        <w:t xml:space="preserve">room </w:t>
      </w:r>
      <w:r w:rsidRPr="00E13D21">
        <w:rPr>
          <w:rFonts w:cs="Arial"/>
          <w:sz w:val="24"/>
          <w:szCs w:val="24"/>
        </w:rPr>
        <w:t>together and that was within</w:t>
      </w:r>
      <w:r w:rsidR="0013023F" w:rsidRPr="00E13D21">
        <w:rPr>
          <w:rFonts w:cs="Arial"/>
          <w:sz w:val="24"/>
          <w:szCs w:val="24"/>
        </w:rPr>
        <w:t xml:space="preserve"> a pre-fab.  </w:t>
      </w:r>
      <w:r w:rsidRPr="00E13D21">
        <w:rPr>
          <w:rFonts w:cs="Arial"/>
          <w:sz w:val="24"/>
          <w:szCs w:val="24"/>
        </w:rPr>
        <w:t>The room c</w:t>
      </w:r>
      <w:r w:rsidR="0013023F" w:rsidRPr="00E13D21">
        <w:rPr>
          <w:rFonts w:cs="Arial"/>
          <w:sz w:val="24"/>
          <w:szCs w:val="24"/>
        </w:rPr>
        <w:t>ouldn’t be used because of the obvious health and safety risk.</w:t>
      </w:r>
    </w:p>
    <w:p w14:paraId="683D998A" w14:textId="582692FB" w:rsidR="0013023F" w:rsidRPr="00E13D21" w:rsidRDefault="00E820BE" w:rsidP="00E13D21">
      <w:pPr>
        <w:pStyle w:val="ListParagraph"/>
        <w:numPr>
          <w:ilvl w:val="0"/>
          <w:numId w:val="24"/>
        </w:numPr>
        <w:spacing w:after="0" w:line="360" w:lineRule="auto"/>
        <w:jc w:val="both"/>
        <w:rPr>
          <w:rFonts w:cs="Arial"/>
          <w:sz w:val="24"/>
          <w:szCs w:val="24"/>
        </w:rPr>
      </w:pPr>
      <w:r w:rsidRPr="00E13D21">
        <w:rPr>
          <w:rFonts w:cs="Arial"/>
          <w:sz w:val="24"/>
          <w:szCs w:val="24"/>
        </w:rPr>
        <w:t>Often there are n</w:t>
      </w:r>
      <w:r w:rsidR="0013023F" w:rsidRPr="00E13D21">
        <w:rPr>
          <w:rFonts w:cs="Arial"/>
          <w:sz w:val="24"/>
          <w:szCs w:val="24"/>
        </w:rPr>
        <w:t xml:space="preserve">o sports facilities </w:t>
      </w:r>
      <w:r w:rsidRPr="00E13D21">
        <w:rPr>
          <w:rFonts w:cs="Arial"/>
          <w:sz w:val="24"/>
          <w:szCs w:val="24"/>
        </w:rPr>
        <w:t xml:space="preserve">suitable </w:t>
      </w:r>
      <w:r w:rsidR="0013023F" w:rsidRPr="00E13D21">
        <w:rPr>
          <w:rFonts w:cs="Arial"/>
          <w:sz w:val="24"/>
          <w:szCs w:val="24"/>
        </w:rPr>
        <w:t>for teenagers.</w:t>
      </w:r>
    </w:p>
    <w:p w14:paraId="30D59779" w14:textId="1FBF4D90" w:rsidR="0013023F" w:rsidRPr="00E13D21" w:rsidRDefault="00E820BE" w:rsidP="00E13D21">
      <w:pPr>
        <w:pStyle w:val="ListParagraph"/>
        <w:numPr>
          <w:ilvl w:val="0"/>
          <w:numId w:val="24"/>
        </w:numPr>
        <w:spacing w:after="0" w:line="360" w:lineRule="auto"/>
        <w:jc w:val="both"/>
        <w:rPr>
          <w:rFonts w:cs="Arial"/>
          <w:sz w:val="24"/>
          <w:szCs w:val="24"/>
        </w:rPr>
      </w:pPr>
      <w:r w:rsidRPr="00E13D21">
        <w:rPr>
          <w:rFonts w:cs="Arial"/>
          <w:sz w:val="24"/>
          <w:szCs w:val="24"/>
        </w:rPr>
        <w:t>In at</w:t>
      </w:r>
      <w:r w:rsidR="00CD4329" w:rsidRPr="00E13D21">
        <w:rPr>
          <w:rFonts w:cs="Arial"/>
          <w:sz w:val="24"/>
          <w:szCs w:val="24"/>
        </w:rPr>
        <w:t xml:space="preserve"> least one case, </w:t>
      </w:r>
      <w:r w:rsidR="00C3579A" w:rsidRPr="00E13D21">
        <w:rPr>
          <w:rFonts w:cs="Arial"/>
          <w:sz w:val="24"/>
          <w:szCs w:val="24"/>
        </w:rPr>
        <w:t>16-year-old</w:t>
      </w:r>
      <w:r w:rsidRPr="00E13D21">
        <w:rPr>
          <w:rFonts w:cs="Arial"/>
          <w:sz w:val="24"/>
          <w:szCs w:val="24"/>
        </w:rPr>
        <w:t xml:space="preserve"> </w:t>
      </w:r>
      <w:r w:rsidR="00A12800">
        <w:rPr>
          <w:rFonts w:cs="Arial"/>
          <w:sz w:val="24"/>
          <w:szCs w:val="24"/>
        </w:rPr>
        <w:t>s</w:t>
      </w:r>
      <w:r w:rsidR="000958AD" w:rsidRPr="00E13D21">
        <w:rPr>
          <w:rFonts w:cs="Arial"/>
          <w:sz w:val="24"/>
          <w:szCs w:val="24"/>
        </w:rPr>
        <w:t>econd-</w:t>
      </w:r>
      <w:r w:rsidR="00A12800">
        <w:rPr>
          <w:rFonts w:cs="Arial"/>
          <w:sz w:val="24"/>
          <w:szCs w:val="24"/>
        </w:rPr>
        <w:t>l</w:t>
      </w:r>
      <w:r w:rsidR="000958AD" w:rsidRPr="00E13D21">
        <w:rPr>
          <w:rFonts w:cs="Arial"/>
          <w:sz w:val="24"/>
          <w:szCs w:val="24"/>
        </w:rPr>
        <w:t>evel</w:t>
      </w:r>
      <w:r w:rsidRPr="00E13D21">
        <w:rPr>
          <w:rFonts w:cs="Arial"/>
          <w:sz w:val="24"/>
          <w:szCs w:val="24"/>
        </w:rPr>
        <w:t xml:space="preserve"> students are</w:t>
      </w:r>
      <w:r w:rsidR="0013023F" w:rsidRPr="00E13D21">
        <w:rPr>
          <w:rFonts w:cs="Arial"/>
          <w:sz w:val="24"/>
          <w:szCs w:val="24"/>
        </w:rPr>
        <w:t xml:space="preserve"> in </w:t>
      </w:r>
      <w:r w:rsidRPr="00E13D21">
        <w:rPr>
          <w:rFonts w:cs="Arial"/>
          <w:sz w:val="24"/>
          <w:szCs w:val="24"/>
        </w:rPr>
        <w:t xml:space="preserve">the </w:t>
      </w:r>
      <w:r w:rsidR="0013023F" w:rsidRPr="00E13D21">
        <w:rPr>
          <w:rFonts w:cs="Arial"/>
          <w:sz w:val="24"/>
          <w:szCs w:val="24"/>
        </w:rPr>
        <w:t xml:space="preserve">same building as primary school children.  </w:t>
      </w:r>
      <w:r w:rsidRPr="00E13D21">
        <w:rPr>
          <w:rFonts w:cs="Arial"/>
          <w:sz w:val="24"/>
          <w:szCs w:val="24"/>
        </w:rPr>
        <w:t>This r</w:t>
      </w:r>
      <w:r w:rsidR="0013023F" w:rsidRPr="00E13D21">
        <w:rPr>
          <w:rFonts w:cs="Arial"/>
          <w:sz w:val="24"/>
          <w:szCs w:val="24"/>
        </w:rPr>
        <w:t>aises concerns about interactions between the two age groups.</w:t>
      </w:r>
    </w:p>
    <w:p w14:paraId="51427DDD" w14:textId="77777777" w:rsidR="0013023F" w:rsidRPr="00E13D21" w:rsidRDefault="0013023F" w:rsidP="00E13D21">
      <w:pPr>
        <w:spacing w:line="360" w:lineRule="auto"/>
        <w:ind w:left="720"/>
        <w:jc w:val="both"/>
        <w:rPr>
          <w:sz w:val="24"/>
          <w:szCs w:val="24"/>
        </w:rPr>
      </w:pPr>
      <w:r w:rsidRPr="00E13D21">
        <w:rPr>
          <w:color w:val="1F497D"/>
          <w:sz w:val="24"/>
          <w:szCs w:val="24"/>
        </w:rPr>
        <w:t> </w:t>
      </w:r>
    </w:p>
    <w:p w14:paraId="58F38F77" w14:textId="77777777" w:rsidR="00CD4329" w:rsidRPr="00C3579A" w:rsidRDefault="00CD4329" w:rsidP="00E13D21">
      <w:pPr>
        <w:spacing w:after="0" w:line="360" w:lineRule="auto"/>
        <w:jc w:val="both"/>
        <w:rPr>
          <w:rFonts w:cs="Arial"/>
          <w:b/>
          <w:sz w:val="28"/>
          <w:szCs w:val="28"/>
          <w:u w:val="single"/>
        </w:rPr>
      </w:pPr>
      <w:r w:rsidRPr="00C3579A">
        <w:rPr>
          <w:rFonts w:cs="Arial"/>
          <w:b/>
          <w:sz w:val="28"/>
          <w:szCs w:val="28"/>
          <w:u w:val="single"/>
        </w:rPr>
        <w:t>Meeting Demographic Needs</w:t>
      </w:r>
    </w:p>
    <w:p w14:paraId="0963E19E" w14:textId="379AF312" w:rsidR="008C2074" w:rsidRPr="00E13D21" w:rsidRDefault="00CD4329" w:rsidP="00E13D21">
      <w:pPr>
        <w:spacing w:after="0" w:line="360" w:lineRule="auto"/>
        <w:jc w:val="both"/>
        <w:rPr>
          <w:rFonts w:cs="Arial"/>
          <w:sz w:val="24"/>
          <w:szCs w:val="24"/>
        </w:rPr>
      </w:pPr>
      <w:r w:rsidRPr="00E13D21">
        <w:rPr>
          <w:rFonts w:cs="Arial"/>
          <w:sz w:val="24"/>
          <w:szCs w:val="24"/>
        </w:rPr>
        <w:t xml:space="preserve">As well as ensuring that there is an adequate number of school places within an area, it is also important for the DES to ensure that provision of </w:t>
      </w:r>
      <w:r w:rsidR="00C3579A" w:rsidRPr="00E13D21">
        <w:rPr>
          <w:rFonts w:cs="Arial"/>
          <w:sz w:val="24"/>
          <w:szCs w:val="24"/>
        </w:rPr>
        <w:t>types</w:t>
      </w:r>
      <w:r w:rsidRPr="00E13D21">
        <w:rPr>
          <w:rFonts w:cs="Arial"/>
          <w:sz w:val="24"/>
          <w:szCs w:val="24"/>
        </w:rPr>
        <w:t xml:space="preserve"> of schools can be accessed by parents.  For example, the building of a</w:t>
      </w:r>
      <w:r w:rsidR="008C2074" w:rsidRPr="00E13D21">
        <w:rPr>
          <w:rFonts w:cs="Arial"/>
          <w:sz w:val="24"/>
          <w:szCs w:val="24"/>
        </w:rPr>
        <w:t xml:space="preserve"> Gaelcholaiste </w:t>
      </w:r>
      <w:r w:rsidRPr="00E13D21">
        <w:rPr>
          <w:rFonts w:cs="Arial"/>
          <w:sz w:val="24"/>
          <w:szCs w:val="24"/>
        </w:rPr>
        <w:t>for</w:t>
      </w:r>
      <w:r w:rsidR="008C2074" w:rsidRPr="00E13D21">
        <w:rPr>
          <w:rFonts w:cs="Arial"/>
          <w:sz w:val="24"/>
          <w:szCs w:val="24"/>
        </w:rPr>
        <w:t xml:space="preserve"> North Kerry</w:t>
      </w:r>
      <w:r w:rsidRPr="00E13D21">
        <w:rPr>
          <w:rFonts w:cs="Arial"/>
          <w:sz w:val="24"/>
          <w:szCs w:val="24"/>
        </w:rPr>
        <w:t xml:space="preserve"> was recently approved.  It is the only Gaelcholaiste in the entire North Kerry area so parents wishing to access an Iris</w:t>
      </w:r>
      <w:r w:rsidR="00372A96">
        <w:rPr>
          <w:rFonts w:cs="Arial"/>
          <w:sz w:val="24"/>
          <w:szCs w:val="24"/>
        </w:rPr>
        <w:t>h</w:t>
      </w:r>
      <w:r w:rsidRPr="00E13D21">
        <w:rPr>
          <w:rFonts w:cs="Arial"/>
          <w:sz w:val="24"/>
          <w:szCs w:val="24"/>
        </w:rPr>
        <w:t>-medium education for their children have had to commute long distances.</w:t>
      </w:r>
    </w:p>
    <w:p w14:paraId="7CFBF88C" w14:textId="77777777" w:rsidR="00CD4329" w:rsidRPr="00E13D21" w:rsidRDefault="00CD4329" w:rsidP="00E13D21">
      <w:pPr>
        <w:spacing w:after="0" w:line="360" w:lineRule="auto"/>
        <w:jc w:val="both"/>
        <w:rPr>
          <w:rFonts w:cs="Arial"/>
          <w:sz w:val="24"/>
          <w:szCs w:val="24"/>
        </w:rPr>
      </w:pPr>
      <w:r w:rsidRPr="00E13D21">
        <w:rPr>
          <w:rFonts w:cs="Arial"/>
          <w:sz w:val="24"/>
          <w:szCs w:val="24"/>
        </w:rPr>
        <w:t xml:space="preserve"> </w:t>
      </w:r>
    </w:p>
    <w:p w14:paraId="5BD863E7" w14:textId="679C0574" w:rsidR="008C2074" w:rsidRPr="00E13D21" w:rsidRDefault="00CD4329" w:rsidP="00E13D21">
      <w:pPr>
        <w:spacing w:after="0" w:line="360" w:lineRule="auto"/>
        <w:jc w:val="both"/>
        <w:rPr>
          <w:rFonts w:cs="Arial"/>
          <w:sz w:val="24"/>
          <w:szCs w:val="24"/>
        </w:rPr>
      </w:pPr>
      <w:r w:rsidRPr="00E13D21">
        <w:rPr>
          <w:rFonts w:cs="Arial"/>
          <w:sz w:val="24"/>
          <w:szCs w:val="24"/>
        </w:rPr>
        <w:t>In relation to the amalgamation of existing schools it is important that all stakeholders ma</w:t>
      </w:r>
      <w:r w:rsidR="00926098">
        <w:rPr>
          <w:rFonts w:cs="Arial"/>
          <w:sz w:val="24"/>
          <w:szCs w:val="24"/>
        </w:rPr>
        <w:t>ke</w:t>
      </w:r>
      <w:r w:rsidRPr="00E13D21">
        <w:rPr>
          <w:rFonts w:cs="Arial"/>
          <w:sz w:val="24"/>
          <w:szCs w:val="24"/>
        </w:rPr>
        <w:t xml:space="preserve"> a meaningful contribution to ensuring successful completion of the amalgamation process.  It has been reported to the TUI that some p</w:t>
      </w:r>
      <w:r w:rsidR="008C2074" w:rsidRPr="00E13D21">
        <w:rPr>
          <w:rFonts w:cs="Arial"/>
          <w:sz w:val="24"/>
          <w:szCs w:val="24"/>
        </w:rPr>
        <w:t xml:space="preserve">atron bodies </w:t>
      </w:r>
      <w:r w:rsidRPr="00E13D21">
        <w:rPr>
          <w:rFonts w:cs="Arial"/>
          <w:sz w:val="24"/>
          <w:szCs w:val="24"/>
        </w:rPr>
        <w:t xml:space="preserve">are </w:t>
      </w:r>
      <w:r w:rsidR="008C2074" w:rsidRPr="00E13D21">
        <w:rPr>
          <w:rFonts w:cs="Arial"/>
          <w:sz w:val="24"/>
          <w:szCs w:val="24"/>
        </w:rPr>
        <w:t xml:space="preserve">not </w:t>
      </w:r>
      <w:r w:rsidRPr="00E13D21">
        <w:rPr>
          <w:rFonts w:cs="Arial"/>
          <w:sz w:val="24"/>
          <w:szCs w:val="24"/>
        </w:rPr>
        <w:t>demonstrating commitment to the amalgamation process</w:t>
      </w:r>
      <w:r w:rsidR="008C2074" w:rsidRPr="00E13D21">
        <w:rPr>
          <w:rFonts w:cs="Arial"/>
          <w:sz w:val="24"/>
          <w:szCs w:val="24"/>
        </w:rPr>
        <w:t>.</w:t>
      </w:r>
    </w:p>
    <w:p w14:paraId="4B2FA873" w14:textId="77777777" w:rsidR="00CD4329" w:rsidRPr="00E13D21" w:rsidRDefault="00CD4329" w:rsidP="00E13D21">
      <w:pPr>
        <w:spacing w:after="0" w:line="360" w:lineRule="auto"/>
        <w:jc w:val="both"/>
        <w:rPr>
          <w:rFonts w:cs="Arial"/>
          <w:sz w:val="24"/>
          <w:szCs w:val="24"/>
        </w:rPr>
      </w:pPr>
    </w:p>
    <w:p w14:paraId="0F0ECCF9" w14:textId="77777777" w:rsidR="00CD4329" w:rsidRPr="00C3579A" w:rsidRDefault="00CD4329" w:rsidP="00E13D21">
      <w:pPr>
        <w:spacing w:after="0" w:line="360" w:lineRule="auto"/>
        <w:jc w:val="both"/>
        <w:rPr>
          <w:rFonts w:cs="Arial"/>
          <w:b/>
          <w:sz w:val="28"/>
          <w:szCs w:val="28"/>
          <w:u w:val="single"/>
        </w:rPr>
      </w:pPr>
      <w:r w:rsidRPr="00C3579A">
        <w:rPr>
          <w:rFonts w:cs="Arial"/>
          <w:b/>
          <w:sz w:val="28"/>
          <w:szCs w:val="28"/>
          <w:u w:val="single"/>
        </w:rPr>
        <w:t>Conclusion</w:t>
      </w:r>
    </w:p>
    <w:p w14:paraId="19324175" w14:textId="077186C2" w:rsidR="008C2074" w:rsidRPr="00E13D21" w:rsidRDefault="003C1482" w:rsidP="00E13D21">
      <w:pPr>
        <w:spacing w:after="0" w:line="360" w:lineRule="auto"/>
        <w:jc w:val="both"/>
        <w:rPr>
          <w:rFonts w:cs="Arial"/>
          <w:sz w:val="24"/>
          <w:szCs w:val="24"/>
        </w:rPr>
      </w:pPr>
      <w:r w:rsidRPr="00E13D21">
        <w:rPr>
          <w:rFonts w:cs="Arial"/>
          <w:sz w:val="24"/>
          <w:szCs w:val="24"/>
        </w:rPr>
        <w:t>It is clear from the a</w:t>
      </w:r>
      <w:r w:rsidR="00372A96">
        <w:rPr>
          <w:rFonts w:cs="Arial"/>
          <w:sz w:val="24"/>
          <w:szCs w:val="24"/>
        </w:rPr>
        <w:t>bove that the School Buildings P</w:t>
      </w:r>
      <w:r w:rsidRPr="00E13D21">
        <w:rPr>
          <w:rFonts w:cs="Arial"/>
          <w:sz w:val="24"/>
          <w:szCs w:val="24"/>
        </w:rPr>
        <w:t xml:space="preserve">rogramme, despite the best efforts of those involved, is not keeping pace with the rapid demographic and curricular changes happening in second-level and further education.  </w:t>
      </w:r>
      <w:r w:rsidR="00AC0E7E">
        <w:rPr>
          <w:rFonts w:cs="Arial"/>
          <w:sz w:val="24"/>
          <w:szCs w:val="24"/>
        </w:rPr>
        <w:t xml:space="preserve">This is to say nothing of the challenges being encountered by Institutes of Technology in developing new facilities though that is </w:t>
      </w:r>
      <w:r w:rsidR="00AC0E7E">
        <w:rPr>
          <w:rFonts w:cs="Arial"/>
          <w:sz w:val="24"/>
          <w:szCs w:val="24"/>
        </w:rPr>
        <w:lastRenderedPageBreak/>
        <w:t xml:space="preserve">beyond the immediate boundaries of this submission.  </w:t>
      </w:r>
      <w:r w:rsidRPr="00E13D21">
        <w:rPr>
          <w:rFonts w:cs="Arial"/>
          <w:sz w:val="24"/>
          <w:szCs w:val="24"/>
        </w:rPr>
        <w:t>The TUI believes that significant changes need to be made and welcomes the interest shown by the Oireachtas Committee in examining this issue.</w:t>
      </w:r>
    </w:p>
    <w:p w14:paraId="3B1D0E01" w14:textId="77777777" w:rsidR="003C1482" w:rsidRPr="00E13D21" w:rsidRDefault="003C1482" w:rsidP="00E13D21">
      <w:pPr>
        <w:spacing w:after="0" w:line="360" w:lineRule="auto"/>
        <w:jc w:val="both"/>
        <w:rPr>
          <w:rFonts w:cs="Arial"/>
          <w:sz w:val="24"/>
          <w:szCs w:val="24"/>
        </w:rPr>
      </w:pPr>
    </w:p>
    <w:p w14:paraId="7A52BCB0" w14:textId="0D20C185" w:rsidR="00DD2118" w:rsidRPr="00C3579A" w:rsidRDefault="00DD2118" w:rsidP="00E13D21">
      <w:pPr>
        <w:spacing w:after="0" w:line="360" w:lineRule="auto"/>
        <w:jc w:val="both"/>
        <w:rPr>
          <w:rFonts w:cs="Arial"/>
          <w:b/>
          <w:sz w:val="28"/>
          <w:szCs w:val="28"/>
          <w:u w:val="single"/>
        </w:rPr>
      </w:pPr>
      <w:r w:rsidRPr="00C3579A">
        <w:rPr>
          <w:rFonts w:cs="Arial"/>
          <w:b/>
          <w:sz w:val="28"/>
          <w:szCs w:val="28"/>
          <w:u w:val="single"/>
        </w:rPr>
        <w:t>Recommendations</w:t>
      </w:r>
    </w:p>
    <w:p w14:paraId="186D9D09" w14:textId="3719BCC3" w:rsidR="00DD2118" w:rsidRPr="00E13D21" w:rsidRDefault="00CD6054" w:rsidP="00E13D21">
      <w:pPr>
        <w:spacing w:after="0" w:line="360" w:lineRule="auto"/>
        <w:jc w:val="both"/>
        <w:rPr>
          <w:rFonts w:cs="Arial"/>
          <w:sz w:val="24"/>
          <w:szCs w:val="24"/>
        </w:rPr>
      </w:pPr>
      <w:r w:rsidRPr="00E13D21">
        <w:rPr>
          <w:rFonts w:cs="Arial"/>
          <w:sz w:val="24"/>
          <w:szCs w:val="24"/>
        </w:rPr>
        <w:t>In the interest o</w:t>
      </w:r>
      <w:r w:rsidR="003C1482" w:rsidRPr="00E13D21">
        <w:rPr>
          <w:rFonts w:cs="Arial"/>
          <w:sz w:val="24"/>
          <w:szCs w:val="24"/>
        </w:rPr>
        <w:t>f students, staff and communities, the TUI recommends the following:</w:t>
      </w:r>
      <w:r w:rsidRPr="00E13D21">
        <w:rPr>
          <w:rFonts w:cs="Arial"/>
          <w:sz w:val="24"/>
          <w:szCs w:val="24"/>
        </w:rPr>
        <w:t xml:space="preserve"> </w:t>
      </w:r>
    </w:p>
    <w:p w14:paraId="534B5663" w14:textId="77777777" w:rsidR="003C1482" w:rsidRPr="00E13D21" w:rsidRDefault="003C1482" w:rsidP="00E13D21">
      <w:pPr>
        <w:pStyle w:val="ListParagraph"/>
        <w:numPr>
          <w:ilvl w:val="0"/>
          <w:numId w:val="25"/>
        </w:numPr>
        <w:spacing w:line="360" w:lineRule="auto"/>
        <w:jc w:val="both"/>
        <w:rPr>
          <w:rFonts w:cs="Arial"/>
          <w:sz w:val="24"/>
          <w:szCs w:val="24"/>
        </w:rPr>
      </w:pPr>
      <w:r w:rsidRPr="00E13D21">
        <w:rPr>
          <w:rFonts w:cs="Arial"/>
          <w:sz w:val="24"/>
          <w:szCs w:val="24"/>
        </w:rPr>
        <w:t>Significant investment is required for both the building of new schools and the modernisation/expansion of existing schools.</w:t>
      </w:r>
    </w:p>
    <w:p w14:paraId="19EDDFC8" w14:textId="77777777" w:rsidR="003C1482" w:rsidRPr="00E13D21" w:rsidRDefault="003C1482" w:rsidP="00E13D21">
      <w:pPr>
        <w:pStyle w:val="ListParagraph"/>
        <w:numPr>
          <w:ilvl w:val="0"/>
          <w:numId w:val="25"/>
        </w:numPr>
        <w:spacing w:line="360" w:lineRule="auto"/>
        <w:jc w:val="both"/>
        <w:rPr>
          <w:rFonts w:cs="Arial"/>
          <w:sz w:val="24"/>
          <w:szCs w:val="24"/>
        </w:rPr>
      </w:pPr>
      <w:r w:rsidRPr="00E13D21">
        <w:rPr>
          <w:rFonts w:cs="Arial"/>
          <w:sz w:val="24"/>
          <w:szCs w:val="24"/>
        </w:rPr>
        <w:t>Curricular needs and changes to curriculum must be taken into account in terms of deciding building projects and the resources attached to same.</w:t>
      </w:r>
    </w:p>
    <w:p w14:paraId="75C251C9" w14:textId="40539F36" w:rsidR="003C1482" w:rsidRDefault="003C1482" w:rsidP="00E13D21">
      <w:pPr>
        <w:pStyle w:val="ListParagraph"/>
        <w:numPr>
          <w:ilvl w:val="0"/>
          <w:numId w:val="25"/>
        </w:numPr>
        <w:spacing w:line="360" w:lineRule="auto"/>
        <w:jc w:val="both"/>
        <w:rPr>
          <w:rFonts w:cs="Arial"/>
          <w:sz w:val="24"/>
          <w:szCs w:val="24"/>
        </w:rPr>
      </w:pPr>
      <w:r w:rsidRPr="00E13D21">
        <w:rPr>
          <w:rFonts w:cs="Arial"/>
          <w:sz w:val="24"/>
          <w:szCs w:val="24"/>
        </w:rPr>
        <w:t>Building cost inflation, and the time required to get approval for buildings, need to be factored into budgets</w:t>
      </w:r>
      <w:r w:rsidR="00926098">
        <w:rPr>
          <w:rFonts w:cs="Arial"/>
          <w:sz w:val="24"/>
          <w:szCs w:val="24"/>
        </w:rPr>
        <w:t>, as does the additional costs of building in remote areas.</w:t>
      </w:r>
    </w:p>
    <w:p w14:paraId="4B2644B5" w14:textId="6FCD4B8B" w:rsidR="00CD4329" w:rsidRPr="00E13D21" w:rsidRDefault="003C1482" w:rsidP="00E13D21">
      <w:pPr>
        <w:pStyle w:val="ListParagraph"/>
        <w:numPr>
          <w:ilvl w:val="0"/>
          <w:numId w:val="25"/>
        </w:numPr>
        <w:spacing w:line="360" w:lineRule="auto"/>
        <w:jc w:val="both"/>
        <w:rPr>
          <w:rFonts w:cs="Arial"/>
          <w:sz w:val="24"/>
          <w:szCs w:val="24"/>
        </w:rPr>
      </w:pPr>
      <w:r w:rsidRPr="00E13D21">
        <w:rPr>
          <w:rFonts w:cs="Arial"/>
          <w:sz w:val="24"/>
          <w:szCs w:val="24"/>
        </w:rPr>
        <w:t xml:space="preserve">Provision </w:t>
      </w:r>
      <w:r w:rsidR="00372A96">
        <w:rPr>
          <w:rFonts w:cs="Arial"/>
          <w:sz w:val="24"/>
          <w:szCs w:val="24"/>
        </w:rPr>
        <w:t>must be made for</w:t>
      </w:r>
      <w:r w:rsidR="00CD4329" w:rsidRPr="00E13D21">
        <w:rPr>
          <w:rFonts w:cs="Arial"/>
          <w:sz w:val="24"/>
          <w:szCs w:val="24"/>
        </w:rPr>
        <w:t xml:space="preserve"> additional resources for schools in relation to maintenance, fire safety and Health &amp; Safety.</w:t>
      </w:r>
    </w:p>
    <w:p w14:paraId="667F3F23" w14:textId="75D23ABE" w:rsidR="00CD4329" w:rsidRPr="00E13D21" w:rsidRDefault="003C1482" w:rsidP="00E13D21">
      <w:pPr>
        <w:pStyle w:val="ListParagraph"/>
        <w:numPr>
          <w:ilvl w:val="0"/>
          <w:numId w:val="25"/>
        </w:numPr>
        <w:spacing w:line="360" w:lineRule="auto"/>
        <w:jc w:val="both"/>
        <w:rPr>
          <w:rFonts w:cs="Arial"/>
          <w:sz w:val="24"/>
          <w:szCs w:val="24"/>
        </w:rPr>
      </w:pPr>
      <w:r w:rsidRPr="00E13D21">
        <w:rPr>
          <w:rFonts w:cs="Arial"/>
          <w:sz w:val="24"/>
          <w:szCs w:val="24"/>
        </w:rPr>
        <w:t>Each</w:t>
      </w:r>
      <w:r w:rsidR="00CD4329" w:rsidRPr="00E13D21">
        <w:rPr>
          <w:rFonts w:cs="Arial"/>
          <w:sz w:val="24"/>
          <w:szCs w:val="24"/>
        </w:rPr>
        <w:t xml:space="preserve"> school should have a dedicated Facilities Manager who would ensure each school is compliant with the above</w:t>
      </w:r>
      <w:r w:rsidRPr="00E13D21">
        <w:rPr>
          <w:rFonts w:cs="Arial"/>
          <w:sz w:val="24"/>
          <w:szCs w:val="24"/>
        </w:rPr>
        <w:t xml:space="preserve"> </w:t>
      </w:r>
      <w:r w:rsidR="00CD4329" w:rsidRPr="00E13D21">
        <w:rPr>
          <w:rFonts w:cs="Arial"/>
          <w:sz w:val="24"/>
          <w:szCs w:val="24"/>
        </w:rPr>
        <w:t>and take the day to day compliance responsibility away from the Principals.</w:t>
      </w:r>
    </w:p>
    <w:p w14:paraId="46C95E4C" w14:textId="16987A24" w:rsidR="003C1482" w:rsidRPr="00E13D21" w:rsidRDefault="003C1482" w:rsidP="00E13D21">
      <w:pPr>
        <w:pStyle w:val="ListParagraph"/>
        <w:numPr>
          <w:ilvl w:val="0"/>
          <w:numId w:val="25"/>
        </w:numPr>
        <w:spacing w:after="0" w:line="360" w:lineRule="auto"/>
        <w:jc w:val="both"/>
        <w:rPr>
          <w:rFonts w:cs="Arial"/>
          <w:sz w:val="24"/>
          <w:szCs w:val="24"/>
        </w:rPr>
      </w:pPr>
      <w:r w:rsidRPr="00E13D21">
        <w:rPr>
          <w:rFonts w:cs="Arial"/>
          <w:sz w:val="24"/>
          <w:szCs w:val="24"/>
        </w:rPr>
        <w:t>There should be updated guidance on buildings management.</w:t>
      </w:r>
    </w:p>
    <w:p w14:paraId="3633542A" w14:textId="722E9669" w:rsidR="003C1482" w:rsidRPr="00E13D21" w:rsidRDefault="003C1482" w:rsidP="00E13D21">
      <w:pPr>
        <w:pStyle w:val="ListParagraph"/>
        <w:numPr>
          <w:ilvl w:val="0"/>
          <w:numId w:val="25"/>
        </w:numPr>
        <w:spacing w:after="0" w:line="360" w:lineRule="auto"/>
        <w:jc w:val="both"/>
        <w:rPr>
          <w:rFonts w:cs="Arial"/>
          <w:sz w:val="24"/>
          <w:szCs w:val="24"/>
        </w:rPr>
      </w:pPr>
      <w:r w:rsidRPr="00E13D21">
        <w:rPr>
          <w:rFonts w:cs="Arial"/>
          <w:sz w:val="24"/>
          <w:szCs w:val="24"/>
        </w:rPr>
        <w:t>There could perhaps be centralised buildings management by resourcing ETBs to do it for all schools.</w:t>
      </w:r>
    </w:p>
    <w:p w14:paraId="6A309ED4" w14:textId="6014A587" w:rsidR="003C1482" w:rsidRPr="00E13D21" w:rsidRDefault="003C1482" w:rsidP="00E13D21">
      <w:pPr>
        <w:pStyle w:val="ListParagraph"/>
        <w:numPr>
          <w:ilvl w:val="0"/>
          <w:numId w:val="25"/>
        </w:numPr>
        <w:spacing w:after="0" w:line="360" w:lineRule="auto"/>
        <w:jc w:val="both"/>
        <w:rPr>
          <w:rFonts w:cs="Arial"/>
          <w:sz w:val="24"/>
          <w:szCs w:val="24"/>
        </w:rPr>
      </w:pPr>
      <w:r w:rsidRPr="00E13D21">
        <w:rPr>
          <w:rFonts w:cs="Arial"/>
          <w:sz w:val="24"/>
          <w:szCs w:val="24"/>
        </w:rPr>
        <w:t>A small number of schools seem to be reluctant to agree extensions if the extension is recommended for the provision of special classes.  Recent legislation prevents ‘soft exclusion’ in admissions criteria but lack of building space doesn’t prevent ‘soft exclusion’.  All schools and sectors should be welcoming of students with SEN</w:t>
      </w:r>
      <w:r w:rsidR="00372A96">
        <w:rPr>
          <w:rFonts w:cs="Arial"/>
          <w:sz w:val="24"/>
          <w:szCs w:val="24"/>
        </w:rPr>
        <w:t>, and have the necessary buildings and facilities to enable inclusion</w:t>
      </w:r>
      <w:r w:rsidRPr="00E13D21">
        <w:rPr>
          <w:rFonts w:cs="Arial"/>
          <w:sz w:val="24"/>
          <w:szCs w:val="24"/>
        </w:rPr>
        <w:t>.</w:t>
      </w:r>
    </w:p>
    <w:p w14:paraId="0A47F2A3" w14:textId="1A5F58FD" w:rsidR="00A44E41" w:rsidRPr="00E13D21" w:rsidRDefault="00C3579A" w:rsidP="00E13D21">
      <w:pPr>
        <w:pStyle w:val="ListParagraph"/>
        <w:numPr>
          <w:ilvl w:val="0"/>
          <w:numId w:val="25"/>
        </w:numPr>
        <w:spacing w:after="0" w:line="360" w:lineRule="auto"/>
        <w:jc w:val="both"/>
        <w:rPr>
          <w:rFonts w:cs="Arial"/>
          <w:sz w:val="24"/>
          <w:szCs w:val="24"/>
        </w:rPr>
      </w:pPr>
      <w:r w:rsidRPr="00E13D21">
        <w:rPr>
          <w:rFonts w:cs="Arial"/>
          <w:sz w:val="24"/>
          <w:szCs w:val="24"/>
        </w:rPr>
        <w:t>Ancillary</w:t>
      </w:r>
      <w:r w:rsidR="00E13D21" w:rsidRPr="00E13D21">
        <w:rPr>
          <w:rFonts w:cs="Arial"/>
          <w:sz w:val="24"/>
          <w:szCs w:val="24"/>
        </w:rPr>
        <w:t xml:space="preserve"> staffing allocations should be increased.</w:t>
      </w:r>
    </w:p>
    <w:p w14:paraId="34106C89" w14:textId="1D9B77B2" w:rsidR="00E13D21" w:rsidRPr="00E13D21" w:rsidRDefault="00E13D21" w:rsidP="00E13D21">
      <w:pPr>
        <w:pStyle w:val="ListParagraph"/>
        <w:numPr>
          <w:ilvl w:val="0"/>
          <w:numId w:val="25"/>
        </w:numPr>
        <w:spacing w:after="0" w:line="360" w:lineRule="auto"/>
        <w:jc w:val="both"/>
        <w:rPr>
          <w:rFonts w:cs="Arial"/>
          <w:sz w:val="24"/>
          <w:szCs w:val="24"/>
        </w:rPr>
      </w:pPr>
      <w:r w:rsidRPr="00E13D21">
        <w:rPr>
          <w:rFonts w:cs="Arial"/>
          <w:sz w:val="24"/>
          <w:szCs w:val="24"/>
        </w:rPr>
        <w:t>Adequate bathroom facilities should be provided.</w:t>
      </w:r>
    </w:p>
    <w:p w14:paraId="50BC7D64" w14:textId="6B43B7B8" w:rsidR="00E13D21" w:rsidRPr="00E13D21" w:rsidRDefault="00E13D21" w:rsidP="00E13D21">
      <w:pPr>
        <w:pStyle w:val="ListParagraph"/>
        <w:numPr>
          <w:ilvl w:val="0"/>
          <w:numId w:val="25"/>
        </w:numPr>
        <w:spacing w:after="0" w:line="360" w:lineRule="auto"/>
        <w:jc w:val="both"/>
        <w:rPr>
          <w:rFonts w:cs="Arial"/>
          <w:sz w:val="24"/>
          <w:szCs w:val="24"/>
        </w:rPr>
      </w:pPr>
      <w:r w:rsidRPr="00E13D21">
        <w:rPr>
          <w:rFonts w:cs="Arial"/>
          <w:sz w:val="24"/>
          <w:szCs w:val="24"/>
        </w:rPr>
        <w:t>The unique needs of new schools temporarily being housed in primary schools, must be taken into account.</w:t>
      </w:r>
    </w:p>
    <w:p w14:paraId="1FEBFA91" w14:textId="30D94111" w:rsidR="00E13D21" w:rsidRPr="00E13D21" w:rsidRDefault="00E13D21" w:rsidP="00E13D21">
      <w:pPr>
        <w:pStyle w:val="ListParagraph"/>
        <w:numPr>
          <w:ilvl w:val="0"/>
          <w:numId w:val="25"/>
        </w:numPr>
        <w:spacing w:after="0" w:line="360" w:lineRule="auto"/>
        <w:jc w:val="both"/>
        <w:rPr>
          <w:rFonts w:cs="Arial"/>
          <w:sz w:val="24"/>
          <w:szCs w:val="24"/>
        </w:rPr>
      </w:pPr>
      <w:r w:rsidRPr="00E13D21">
        <w:rPr>
          <w:rFonts w:cs="Arial"/>
          <w:sz w:val="24"/>
          <w:szCs w:val="24"/>
        </w:rPr>
        <w:t>All stakeholders should play a role in ensuring that school amalgamations can be carried out successfully.</w:t>
      </w:r>
    </w:p>
    <w:p w14:paraId="22B9DF6D" w14:textId="3E8220F0" w:rsidR="00E13D21" w:rsidRPr="002653AF" w:rsidRDefault="002653AF" w:rsidP="002653AF">
      <w:pPr>
        <w:pStyle w:val="ListParagraph"/>
        <w:numPr>
          <w:ilvl w:val="0"/>
          <w:numId w:val="25"/>
        </w:numPr>
        <w:spacing w:after="0" w:line="360" w:lineRule="auto"/>
        <w:jc w:val="both"/>
        <w:rPr>
          <w:rFonts w:cs="Arial"/>
          <w:sz w:val="24"/>
          <w:szCs w:val="24"/>
        </w:rPr>
      </w:pPr>
      <w:r w:rsidRPr="002653AF">
        <w:rPr>
          <w:rFonts w:cs="Arial"/>
          <w:sz w:val="24"/>
          <w:szCs w:val="24"/>
        </w:rPr>
        <w:lastRenderedPageBreak/>
        <w:t>A simplified application system could be introduced for necessary works.</w:t>
      </w:r>
    </w:p>
    <w:p w14:paraId="071D5277" w14:textId="77777777" w:rsidR="00D94643" w:rsidRPr="00E13D21" w:rsidRDefault="00D94643" w:rsidP="00E13D21">
      <w:pPr>
        <w:spacing w:line="360" w:lineRule="auto"/>
        <w:jc w:val="both"/>
        <w:rPr>
          <w:sz w:val="24"/>
          <w:szCs w:val="24"/>
        </w:rPr>
      </w:pPr>
    </w:p>
    <w:p w14:paraId="7306FC13" w14:textId="483042E7" w:rsidR="00DD2118" w:rsidRPr="00C3579A" w:rsidRDefault="00DD2118" w:rsidP="00E13D21">
      <w:pPr>
        <w:spacing w:line="360" w:lineRule="auto"/>
        <w:jc w:val="both"/>
        <w:rPr>
          <w:sz w:val="24"/>
          <w:szCs w:val="24"/>
        </w:rPr>
      </w:pPr>
      <w:r w:rsidRPr="00C3579A">
        <w:rPr>
          <w:sz w:val="24"/>
          <w:szCs w:val="24"/>
        </w:rPr>
        <w:t>Ends</w:t>
      </w:r>
      <w:r w:rsidR="00C3579A">
        <w:rPr>
          <w:sz w:val="24"/>
          <w:szCs w:val="24"/>
        </w:rPr>
        <w:t>.</w:t>
      </w:r>
      <w:r w:rsidRPr="00C3579A">
        <w:rPr>
          <w:sz w:val="24"/>
          <w:szCs w:val="24"/>
        </w:rPr>
        <w:t xml:space="preserve"> </w:t>
      </w:r>
    </w:p>
    <w:p w14:paraId="6E016002" w14:textId="0937CE62" w:rsidR="00DD2118" w:rsidRPr="00571CF8" w:rsidRDefault="00DD2118" w:rsidP="00E13D21">
      <w:pPr>
        <w:spacing w:line="360" w:lineRule="auto"/>
        <w:jc w:val="both"/>
        <w:rPr>
          <w:b/>
          <w:sz w:val="24"/>
          <w:szCs w:val="24"/>
        </w:rPr>
      </w:pPr>
      <w:r w:rsidRPr="00571CF8">
        <w:rPr>
          <w:b/>
          <w:sz w:val="24"/>
          <w:szCs w:val="24"/>
        </w:rPr>
        <w:t xml:space="preserve">David Duffy (Education/Research Officer, TUI), </w:t>
      </w:r>
      <w:hyperlink r:id="rId8" w:history="1">
        <w:r w:rsidRPr="00571CF8">
          <w:rPr>
            <w:rStyle w:val="Hyperlink"/>
            <w:b/>
            <w:color w:val="auto"/>
            <w:sz w:val="24"/>
            <w:szCs w:val="24"/>
          </w:rPr>
          <w:t>dduffy@tui.ie</w:t>
        </w:r>
      </w:hyperlink>
      <w:r w:rsidRPr="00571CF8">
        <w:rPr>
          <w:b/>
          <w:sz w:val="24"/>
          <w:szCs w:val="24"/>
        </w:rPr>
        <w:t>, 01 4922588</w:t>
      </w:r>
      <w:r w:rsidR="00571CF8">
        <w:rPr>
          <w:b/>
          <w:sz w:val="24"/>
          <w:szCs w:val="24"/>
        </w:rPr>
        <w:t>.</w:t>
      </w:r>
    </w:p>
    <w:p w14:paraId="028C4655" w14:textId="77777777" w:rsidR="00DD2118" w:rsidRPr="00E13D21" w:rsidRDefault="00DD2118" w:rsidP="00E13D21">
      <w:pPr>
        <w:spacing w:line="360" w:lineRule="auto"/>
        <w:jc w:val="both"/>
        <w:rPr>
          <w:b/>
          <w:sz w:val="24"/>
          <w:szCs w:val="24"/>
        </w:rPr>
      </w:pPr>
      <w:r w:rsidRPr="00E13D21">
        <w:rPr>
          <w:b/>
          <w:sz w:val="24"/>
          <w:szCs w:val="24"/>
        </w:rPr>
        <w:br w:type="page"/>
      </w:r>
    </w:p>
    <w:p w14:paraId="5433DE0F" w14:textId="1CEE71B1" w:rsidR="00DD2118" w:rsidRPr="00803E38" w:rsidRDefault="00DD2118" w:rsidP="00803E38">
      <w:pPr>
        <w:spacing w:line="360" w:lineRule="auto"/>
        <w:jc w:val="both"/>
        <w:rPr>
          <w:b/>
          <w:sz w:val="24"/>
          <w:szCs w:val="24"/>
        </w:rPr>
      </w:pPr>
      <w:r w:rsidRPr="00803E38">
        <w:rPr>
          <w:b/>
          <w:sz w:val="24"/>
          <w:szCs w:val="24"/>
        </w:rPr>
        <w:lastRenderedPageBreak/>
        <w:t>Glossary</w:t>
      </w:r>
    </w:p>
    <w:p w14:paraId="07D99810" w14:textId="29214138" w:rsidR="00DD2118" w:rsidRPr="00803E38" w:rsidRDefault="00DD2118" w:rsidP="00803E38">
      <w:pPr>
        <w:spacing w:line="360" w:lineRule="auto"/>
        <w:jc w:val="both"/>
        <w:rPr>
          <w:sz w:val="24"/>
          <w:szCs w:val="24"/>
        </w:rPr>
      </w:pPr>
      <w:r w:rsidRPr="00803E38">
        <w:rPr>
          <w:sz w:val="24"/>
          <w:szCs w:val="24"/>
        </w:rPr>
        <w:t>ASD</w:t>
      </w:r>
      <w:r w:rsidRPr="00803E38">
        <w:rPr>
          <w:sz w:val="24"/>
          <w:szCs w:val="24"/>
        </w:rPr>
        <w:tab/>
      </w:r>
      <w:r w:rsidRPr="00803E38">
        <w:rPr>
          <w:sz w:val="24"/>
          <w:szCs w:val="24"/>
        </w:rPr>
        <w:tab/>
        <w:t>Autism Spectrum Disorder</w:t>
      </w:r>
    </w:p>
    <w:p w14:paraId="48264C9E" w14:textId="6E29AE38" w:rsidR="00D073DC" w:rsidRDefault="00D073DC" w:rsidP="00803E38">
      <w:pPr>
        <w:spacing w:line="360" w:lineRule="auto"/>
        <w:jc w:val="both"/>
        <w:rPr>
          <w:sz w:val="24"/>
          <w:szCs w:val="24"/>
        </w:rPr>
      </w:pPr>
      <w:r>
        <w:rPr>
          <w:sz w:val="24"/>
          <w:szCs w:val="24"/>
        </w:rPr>
        <w:t>CSO</w:t>
      </w:r>
      <w:r>
        <w:rPr>
          <w:sz w:val="24"/>
          <w:szCs w:val="24"/>
        </w:rPr>
        <w:tab/>
      </w:r>
      <w:r>
        <w:rPr>
          <w:sz w:val="24"/>
          <w:szCs w:val="24"/>
        </w:rPr>
        <w:tab/>
        <w:t xml:space="preserve">Central </w:t>
      </w:r>
      <w:r w:rsidR="00F91542">
        <w:rPr>
          <w:sz w:val="24"/>
          <w:szCs w:val="24"/>
        </w:rPr>
        <w:t>S</w:t>
      </w:r>
      <w:r>
        <w:rPr>
          <w:sz w:val="24"/>
          <w:szCs w:val="24"/>
        </w:rPr>
        <w:t xml:space="preserve">tatistics </w:t>
      </w:r>
      <w:r w:rsidR="00F91542">
        <w:rPr>
          <w:sz w:val="24"/>
          <w:szCs w:val="24"/>
        </w:rPr>
        <w:t>O</w:t>
      </w:r>
      <w:r>
        <w:rPr>
          <w:sz w:val="24"/>
          <w:szCs w:val="24"/>
        </w:rPr>
        <w:t>ffice</w:t>
      </w:r>
    </w:p>
    <w:p w14:paraId="64DACF8C" w14:textId="5202954B" w:rsidR="00DD2118" w:rsidRPr="00803E38" w:rsidRDefault="00DD2118" w:rsidP="00803E38">
      <w:pPr>
        <w:spacing w:line="360" w:lineRule="auto"/>
        <w:jc w:val="both"/>
        <w:rPr>
          <w:sz w:val="24"/>
          <w:szCs w:val="24"/>
        </w:rPr>
      </w:pPr>
      <w:r w:rsidRPr="00803E38">
        <w:rPr>
          <w:sz w:val="24"/>
          <w:szCs w:val="24"/>
        </w:rPr>
        <w:t>C&amp;C</w:t>
      </w:r>
      <w:r w:rsidRPr="00803E38">
        <w:rPr>
          <w:sz w:val="24"/>
          <w:szCs w:val="24"/>
        </w:rPr>
        <w:tab/>
      </w:r>
      <w:r w:rsidRPr="00803E38">
        <w:rPr>
          <w:sz w:val="24"/>
          <w:szCs w:val="24"/>
        </w:rPr>
        <w:tab/>
        <w:t>Community and Comprehensive</w:t>
      </w:r>
    </w:p>
    <w:p w14:paraId="28B42240" w14:textId="77777777" w:rsidR="00DD2118" w:rsidRPr="00803E38" w:rsidRDefault="00DD2118" w:rsidP="00803E38">
      <w:pPr>
        <w:spacing w:line="360" w:lineRule="auto"/>
        <w:jc w:val="both"/>
        <w:rPr>
          <w:sz w:val="24"/>
          <w:szCs w:val="24"/>
        </w:rPr>
      </w:pPr>
      <w:r w:rsidRPr="00803E38">
        <w:rPr>
          <w:sz w:val="24"/>
          <w:szCs w:val="24"/>
        </w:rPr>
        <w:t>DES</w:t>
      </w:r>
      <w:r w:rsidRPr="00803E38">
        <w:rPr>
          <w:sz w:val="24"/>
          <w:szCs w:val="24"/>
        </w:rPr>
        <w:tab/>
      </w:r>
      <w:r w:rsidRPr="00803E38">
        <w:rPr>
          <w:sz w:val="24"/>
          <w:szCs w:val="24"/>
        </w:rPr>
        <w:tab/>
        <w:t>Department of Education and Skills</w:t>
      </w:r>
    </w:p>
    <w:p w14:paraId="2E75EEAA" w14:textId="77777777" w:rsidR="009C794E" w:rsidRDefault="009C794E" w:rsidP="00803E38">
      <w:pPr>
        <w:spacing w:line="360" w:lineRule="auto"/>
        <w:jc w:val="both"/>
        <w:rPr>
          <w:sz w:val="24"/>
          <w:szCs w:val="24"/>
        </w:rPr>
      </w:pPr>
      <w:r>
        <w:rPr>
          <w:sz w:val="24"/>
          <w:szCs w:val="24"/>
        </w:rPr>
        <w:t>DPER</w:t>
      </w:r>
      <w:r>
        <w:rPr>
          <w:sz w:val="24"/>
          <w:szCs w:val="24"/>
        </w:rPr>
        <w:tab/>
      </w:r>
      <w:r>
        <w:rPr>
          <w:sz w:val="24"/>
          <w:szCs w:val="24"/>
        </w:rPr>
        <w:tab/>
        <w:t>Department of Public Expenditure and Reform</w:t>
      </w:r>
    </w:p>
    <w:p w14:paraId="2192C40C" w14:textId="1A93AD8E" w:rsidR="00DD2118" w:rsidRPr="00803E38" w:rsidRDefault="00DD2118" w:rsidP="00803E38">
      <w:pPr>
        <w:spacing w:line="360" w:lineRule="auto"/>
        <w:jc w:val="both"/>
        <w:rPr>
          <w:sz w:val="24"/>
          <w:szCs w:val="24"/>
        </w:rPr>
      </w:pPr>
      <w:r w:rsidRPr="00803E38">
        <w:rPr>
          <w:sz w:val="24"/>
          <w:szCs w:val="24"/>
        </w:rPr>
        <w:t>ETB</w:t>
      </w:r>
      <w:r w:rsidRPr="00803E38">
        <w:rPr>
          <w:sz w:val="24"/>
          <w:szCs w:val="24"/>
        </w:rPr>
        <w:tab/>
      </w:r>
      <w:r w:rsidRPr="00803E38">
        <w:rPr>
          <w:sz w:val="24"/>
          <w:szCs w:val="24"/>
        </w:rPr>
        <w:tab/>
        <w:t>Education and Training Board</w:t>
      </w:r>
    </w:p>
    <w:p w14:paraId="1677CF30" w14:textId="77777777" w:rsidR="00DD2118" w:rsidRPr="00803E38" w:rsidRDefault="00DD2118" w:rsidP="00803E38">
      <w:pPr>
        <w:spacing w:line="360" w:lineRule="auto"/>
        <w:jc w:val="both"/>
        <w:rPr>
          <w:sz w:val="24"/>
          <w:szCs w:val="24"/>
        </w:rPr>
      </w:pPr>
      <w:r w:rsidRPr="00803E38">
        <w:rPr>
          <w:sz w:val="24"/>
          <w:szCs w:val="24"/>
        </w:rPr>
        <w:t>EU</w:t>
      </w:r>
      <w:r w:rsidRPr="00803E38">
        <w:rPr>
          <w:sz w:val="24"/>
          <w:szCs w:val="24"/>
        </w:rPr>
        <w:tab/>
      </w:r>
      <w:r w:rsidRPr="00803E38">
        <w:rPr>
          <w:sz w:val="24"/>
          <w:szCs w:val="24"/>
        </w:rPr>
        <w:tab/>
        <w:t>European Union</w:t>
      </w:r>
    </w:p>
    <w:p w14:paraId="0D541B37" w14:textId="7505A26A" w:rsidR="00DD2118" w:rsidRPr="00803E38" w:rsidRDefault="007B5316" w:rsidP="00803E38">
      <w:pPr>
        <w:spacing w:line="360" w:lineRule="auto"/>
        <w:jc w:val="both"/>
        <w:rPr>
          <w:sz w:val="24"/>
          <w:szCs w:val="24"/>
        </w:rPr>
      </w:pPr>
      <w:r>
        <w:rPr>
          <w:sz w:val="24"/>
          <w:szCs w:val="24"/>
        </w:rPr>
        <w:t>FE</w:t>
      </w:r>
      <w:r w:rsidR="00DD2118" w:rsidRPr="00803E38">
        <w:rPr>
          <w:sz w:val="24"/>
          <w:szCs w:val="24"/>
        </w:rPr>
        <w:tab/>
      </w:r>
      <w:r w:rsidR="00DD2118" w:rsidRPr="00803E38">
        <w:rPr>
          <w:sz w:val="24"/>
          <w:szCs w:val="24"/>
        </w:rPr>
        <w:tab/>
      </w:r>
      <w:r>
        <w:rPr>
          <w:sz w:val="24"/>
          <w:szCs w:val="24"/>
        </w:rPr>
        <w:t xml:space="preserve">Further </w:t>
      </w:r>
      <w:r w:rsidR="00DD2118" w:rsidRPr="00803E38">
        <w:rPr>
          <w:sz w:val="24"/>
          <w:szCs w:val="24"/>
        </w:rPr>
        <w:t xml:space="preserve">Education </w:t>
      </w:r>
    </w:p>
    <w:p w14:paraId="25147AF2" w14:textId="77777777" w:rsidR="00D94643" w:rsidRDefault="00D94643" w:rsidP="00803E38">
      <w:pPr>
        <w:spacing w:line="360" w:lineRule="auto"/>
        <w:jc w:val="both"/>
        <w:rPr>
          <w:sz w:val="24"/>
          <w:szCs w:val="24"/>
        </w:rPr>
      </w:pPr>
      <w:r>
        <w:rPr>
          <w:sz w:val="24"/>
          <w:szCs w:val="24"/>
        </w:rPr>
        <w:t>GDPR</w:t>
      </w:r>
      <w:r>
        <w:rPr>
          <w:sz w:val="24"/>
          <w:szCs w:val="24"/>
        </w:rPr>
        <w:tab/>
      </w:r>
      <w:r>
        <w:rPr>
          <w:sz w:val="24"/>
          <w:szCs w:val="24"/>
        </w:rPr>
        <w:tab/>
        <w:t>General Data Protection Regulation</w:t>
      </w:r>
    </w:p>
    <w:p w14:paraId="1E41D5F6" w14:textId="77777777" w:rsidR="007B5316" w:rsidRDefault="007B5316" w:rsidP="00803E38">
      <w:pPr>
        <w:spacing w:line="360" w:lineRule="auto"/>
        <w:jc w:val="both"/>
        <w:rPr>
          <w:sz w:val="24"/>
          <w:szCs w:val="24"/>
        </w:rPr>
      </w:pPr>
      <w:r>
        <w:rPr>
          <w:sz w:val="24"/>
          <w:szCs w:val="24"/>
        </w:rPr>
        <w:t>ICT</w:t>
      </w:r>
      <w:r>
        <w:rPr>
          <w:sz w:val="24"/>
          <w:szCs w:val="24"/>
        </w:rPr>
        <w:tab/>
      </w:r>
      <w:r>
        <w:rPr>
          <w:sz w:val="24"/>
          <w:szCs w:val="24"/>
        </w:rPr>
        <w:tab/>
        <w:t>Information and Communications Technology</w:t>
      </w:r>
    </w:p>
    <w:p w14:paraId="0A7C4C2C" w14:textId="7C31D192" w:rsidR="00DD2118" w:rsidRPr="00803E38" w:rsidRDefault="00DD2118" w:rsidP="00803E38">
      <w:pPr>
        <w:spacing w:line="360" w:lineRule="auto"/>
        <w:jc w:val="both"/>
        <w:rPr>
          <w:sz w:val="24"/>
          <w:szCs w:val="24"/>
        </w:rPr>
      </w:pPr>
      <w:r w:rsidRPr="00803E38">
        <w:rPr>
          <w:sz w:val="24"/>
          <w:szCs w:val="24"/>
        </w:rPr>
        <w:t>OECD</w:t>
      </w:r>
      <w:r w:rsidRPr="00803E38">
        <w:rPr>
          <w:sz w:val="24"/>
          <w:szCs w:val="24"/>
        </w:rPr>
        <w:tab/>
      </w:r>
      <w:r w:rsidRPr="00803E38">
        <w:rPr>
          <w:sz w:val="24"/>
          <w:szCs w:val="24"/>
        </w:rPr>
        <w:tab/>
        <w:t>Organisation for Economic Co-operation and Development</w:t>
      </w:r>
    </w:p>
    <w:p w14:paraId="21251986" w14:textId="56F42372" w:rsidR="000541F8" w:rsidRDefault="007B5316" w:rsidP="00803E38">
      <w:pPr>
        <w:spacing w:line="360" w:lineRule="auto"/>
        <w:jc w:val="both"/>
        <w:rPr>
          <w:sz w:val="24"/>
          <w:szCs w:val="24"/>
        </w:rPr>
      </w:pPr>
      <w:r>
        <w:rPr>
          <w:sz w:val="24"/>
          <w:szCs w:val="24"/>
        </w:rPr>
        <w:t>PE</w:t>
      </w:r>
      <w:r w:rsidR="000541F8">
        <w:rPr>
          <w:sz w:val="24"/>
          <w:szCs w:val="24"/>
        </w:rPr>
        <w:tab/>
      </w:r>
      <w:r w:rsidR="000541F8">
        <w:rPr>
          <w:sz w:val="24"/>
          <w:szCs w:val="24"/>
        </w:rPr>
        <w:tab/>
      </w:r>
      <w:r>
        <w:rPr>
          <w:sz w:val="24"/>
          <w:szCs w:val="24"/>
        </w:rPr>
        <w:t>Physical Education</w:t>
      </w:r>
    </w:p>
    <w:p w14:paraId="00ABDA6A" w14:textId="275FCC15" w:rsidR="00DD2118" w:rsidRPr="00803E38" w:rsidRDefault="00DD2118" w:rsidP="00803E38">
      <w:pPr>
        <w:spacing w:line="360" w:lineRule="auto"/>
        <w:jc w:val="both"/>
        <w:rPr>
          <w:sz w:val="24"/>
          <w:szCs w:val="24"/>
        </w:rPr>
      </w:pPr>
      <w:r w:rsidRPr="00803E38">
        <w:rPr>
          <w:sz w:val="24"/>
          <w:szCs w:val="24"/>
        </w:rPr>
        <w:t>SEN</w:t>
      </w:r>
      <w:r w:rsidRPr="00803E38">
        <w:rPr>
          <w:sz w:val="24"/>
          <w:szCs w:val="24"/>
        </w:rPr>
        <w:tab/>
      </w:r>
      <w:r w:rsidRPr="00803E38">
        <w:rPr>
          <w:sz w:val="24"/>
          <w:szCs w:val="24"/>
        </w:rPr>
        <w:tab/>
        <w:t>Special Educational Need</w:t>
      </w:r>
      <w:r w:rsidR="005D130F" w:rsidRPr="00803E38">
        <w:rPr>
          <w:sz w:val="24"/>
          <w:szCs w:val="24"/>
        </w:rPr>
        <w:t>s</w:t>
      </w:r>
    </w:p>
    <w:p w14:paraId="0B839F15" w14:textId="075551C1" w:rsidR="00850121" w:rsidRPr="00803E38" w:rsidRDefault="007B5316" w:rsidP="00803E38">
      <w:pPr>
        <w:spacing w:line="360" w:lineRule="auto"/>
        <w:jc w:val="both"/>
        <w:rPr>
          <w:sz w:val="24"/>
          <w:szCs w:val="24"/>
        </w:rPr>
      </w:pPr>
      <w:r>
        <w:rPr>
          <w:sz w:val="24"/>
          <w:szCs w:val="24"/>
        </w:rPr>
        <w:t>STEM</w:t>
      </w:r>
      <w:r w:rsidR="00850121" w:rsidRPr="00803E38">
        <w:rPr>
          <w:sz w:val="24"/>
          <w:szCs w:val="24"/>
        </w:rPr>
        <w:tab/>
      </w:r>
      <w:r w:rsidR="00850121" w:rsidRPr="00803E38">
        <w:rPr>
          <w:sz w:val="24"/>
          <w:szCs w:val="24"/>
        </w:rPr>
        <w:tab/>
      </w:r>
      <w:r>
        <w:rPr>
          <w:sz w:val="24"/>
          <w:szCs w:val="24"/>
        </w:rPr>
        <w:t>Science, Technology, Engineering and Mathematics</w:t>
      </w:r>
    </w:p>
    <w:p w14:paraId="62D30C10" w14:textId="6BA732F0" w:rsidR="00DD2118" w:rsidRPr="00803E38" w:rsidRDefault="00E13D21" w:rsidP="00803E38">
      <w:pPr>
        <w:spacing w:line="360" w:lineRule="auto"/>
        <w:jc w:val="both"/>
        <w:rPr>
          <w:b/>
          <w:sz w:val="24"/>
          <w:szCs w:val="24"/>
        </w:rPr>
      </w:pPr>
      <w:r>
        <w:rPr>
          <w:sz w:val="24"/>
          <w:szCs w:val="24"/>
        </w:rPr>
        <w:t>TUI</w:t>
      </w:r>
      <w:r>
        <w:rPr>
          <w:sz w:val="24"/>
          <w:szCs w:val="24"/>
        </w:rPr>
        <w:tab/>
      </w:r>
      <w:r>
        <w:rPr>
          <w:sz w:val="24"/>
          <w:szCs w:val="24"/>
        </w:rPr>
        <w:tab/>
        <w:t>Teachers’ Union of Ireland</w:t>
      </w:r>
      <w:r w:rsidR="00DD2118" w:rsidRPr="00803E38">
        <w:rPr>
          <w:b/>
          <w:sz w:val="24"/>
          <w:szCs w:val="24"/>
        </w:rPr>
        <w:br w:type="page"/>
      </w:r>
    </w:p>
    <w:p w14:paraId="5582A338" w14:textId="77777777" w:rsidR="00DD2118" w:rsidRPr="00C3579A" w:rsidRDefault="00DD2118" w:rsidP="00803E38">
      <w:pPr>
        <w:spacing w:line="360" w:lineRule="auto"/>
        <w:jc w:val="both"/>
        <w:rPr>
          <w:b/>
          <w:sz w:val="28"/>
          <w:szCs w:val="28"/>
          <w:u w:val="single"/>
        </w:rPr>
      </w:pPr>
      <w:r w:rsidRPr="00C3579A">
        <w:rPr>
          <w:b/>
          <w:sz w:val="28"/>
          <w:szCs w:val="28"/>
          <w:u w:val="single"/>
        </w:rPr>
        <w:lastRenderedPageBreak/>
        <w:t>References</w:t>
      </w:r>
    </w:p>
    <w:p w14:paraId="5BFBA03E" w14:textId="77777777" w:rsidR="002672FF" w:rsidRPr="007B5316" w:rsidRDefault="002672FF" w:rsidP="007B5316">
      <w:pPr>
        <w:autoSpaceDE w:val="0"/>
        <w:autoSpaceDN w:val="0"/>
        <w:adjustRightInd w:val="0"/>
        <w:spacing w:after="0" w:line="360" w:lineRule="auto"/>
        <w:jc w:val="both"/>
        <w:rPr>
          <w:rFonts w:cs="Arial"/>
          <w:sz w:val="24"/>
          <w:szCs w:val="24"/>
        </w:rPr>
      </w:pPr>
      <w:r w:rsidRPr="007B5316">
        <w:rPr>
          <w:rFonts w:cs="Arial"/>
          <w:sz w:val="24"/>
          <w:szCs w:val="24"/>
        </w:rPr>
        <w:t xml:space="preserve">Bond, C., Symes, W., Hebron, J., Humphrey, N. &amp; Morewood, G. (2016), </w:t>
      </w:r>
      <w:r w:rsidRPr="007B5316">
        <w:rPr>
          <w:rFonts w:cs="Arial"/>
          <w:i/>
          <w:sz w:val="24"/>
          <w:szCs w:val="24"/>
        </w:rPr>
        <w:t>Educating Persons with Autistic Spectrum Disorder – A systematic literature review</w:t>
      </w:r>
      <w:r w:rsidRPr="007B5316">
        <w:rPr>
          <w:rFonts w:cs="Arial"/>
          <w:sz w:val="24"/>
          <w:szCs w:val="24"/>
        </w:rPr>
        <w:t xml:space="preserve">, Trim: National Council for Special Education </w:t>
      </w:r>
    </w:p>
    <w:p w14:paraId="346F1829" w14:textId="1BF33316" w:rsidR="00DD2118" w:rsidRPr="007B5316" w:rsidRDefault="00DD2118" w:rsidP="007B5316">
      <w:pPr>
        <w:autoSpaceDE w:val="0"/>
        <w:autoSpaceDN w:val="0"/>
        <w:adjustRightInd w:val="0"/>
        <w:spacing w:after="0" w:line="360" w:lineRule="auto"/>
        <w:jc w:val="both"/>
        <w:rPr>
          <w:rFonts w:cs="Arial"/>
          <w:sz w:val="24"/>
          <w:szCs w:val="24"/>
        </w:rPr>
      </w:pPr>
      <w:r w:rsidRPr="007B5316">
        <w:rPr>
          <w:rFonts w:cs="Arial"/>
          <w:sz w:val="24"/>
          <w:szCs w:val="24"/>
        </w:rPr>
        <w:t xml:space="preserve">Boyle (2017), </w:t>
      </w:r>
      <w:r w:rsidRPr="007B5316">
        <w:rPr>
          <w:rFonts w:cs="Arial"/>
          <w:i/>
          <w:sz w:val="24"/>
          <w:szCs w:val="24"/>
        </w:rPr>
        <w:t>Public Sector Trends 2017</w:t>
      </w:r>
      <w:r w:rsidRPr="007B5316">
        <w:rPr>
          <w:rFonts w:cs="Arial"/>
          <w:sz w:val="24"/>
          <w:szCs w:val="24"/>
        </w:rPr>
        <w:t>, Dublin: Institute of Public Administration</w:t>
      </w:r>
    </w:p>
    <w:p w14:paraId="53C5230B" w14:textId="77777777" w:rsidR="005C356F" w:rsidRPr="007B5316" w:rsidRDefault="005C356F" w:rsidP="007B5316">
      <w:pPr>
        <w:spacing w:line="360" w:lineRule="auto"/>
        <w:jc w:val="both"/>
        <w:rPr>
          <w:rFonts w:cs="Arial"/>
          <w:sz w:val="24"/>
          <w:szCs w:val="24"/>
        </w:rPr>
      </w:pPr>
      <w:r w:rsidRPr="007B5316">
        <w:rPr>
          <w:rFonts w:cs="Arial"/>
          <w:sz w:val="24"/>
          <w:szCs w:val="24"/>
        </w:rPr>
        <w:t xml:space="preserve">Central Bank (2018), </w:t>
      </w:r>
      <w:r w:rsidRPr="007B5316">
        <w:rPr>
          <w:rFonts w:cs="Arial"/>
          <w:i/>
          <w:sz w:val="24"/>
          <w:szCs w:val="24"/>
        </w:rPr>
        <w:t>Macro-Financial Review</w:t>
      </w:r>
      <w:r w:rsidRPr="007B5316">
        <w:rPr>
          <w:rFonts w:cs="Arial"/>
          <w:sz w:val="24"/>
          <w:szCs w:val="24"/>
        </w:rPr>
        <w:t xml:space="preserve">, Dublin: Central Bank of Ireland </w:t>
      </w:r>
    </w:p>
    <w:p w14:paraId="5B393A08" w14:textId="77777777" w:rsidR="00DD2118" w:rsidRPr="007B5316" w:rsidRDefault="00DD2118" w:rsidP="007B5316">
      <w:pPr>
        <w:spacing w:after="200" w:line="360" w:lineRule="auto"/>
        <w:jc w:val="both"/>
        <w:rPr>
          <w:rFonts w:cs="Arial"/>
          <w:sz w:val="24"/>
          <w:szCs w:val="24"/>
        </w:rPr>
      </w:pPr>
      <w:r w:rsidRPr="007B5316">
        <w:rPr>
          <w:rFonts w:cs="Arial"/>
          <w:sz w:val="24"/>
          <w:szCs w:val="24"/>
        </w:rPr>
        <w:t xml:space="preserve">Comhairle na nOg (2017), </w:t>
      </w:r>
      <w:r w:rsidRPr="007B5316">
        <w:rPr>
          <w:rFonts w:cs="Arial"/>
          <w:i/>
          <w:sz w:val="24"/>
          <w:szCs w:val="24"/>
        </w:rPr>
        <w:t>So, How Was School Today?</w:t>
      </w:r>
      <w:r w:rsidRPr="007B5316">
        <w:rPr>
          <w:rFonts w:cs="Arial"/>
          <w:sz w:val="24"/>
          <w:szCs w:val="24"/>
        </w:rPr>
        <w:t xml:space="preserve"> Dublin: Department of Children and Youth Affairs </w:t>
      </w:r>
    </w:p>
    <w:p w14:paraId="5A9FE9B7" w14:textId="77777777" w:rsidR="00DD2118" w:rsidRPr="007B5316" w:rsidRDefault="00DD2118" w:rsidP="007B5316">
      <w:pPr>
        <w:spacing w:line="360" w:lineRule="auto"/>
        <w:jc w:val="both"/>
        <w:rPr>
          <w:sz w:val="24"/>
          <w:szCs w:val="24"/>
        </w:rPr>
      </w:pPr>
      <w:r w:rsidRPr="007B5316">
        <w:rPr>
          <w:rFonts w:cs="Arial"/>
          <w:sz w:val="24"/>
          <w:szCs w:val="24"/>
        </w:rPr>
        <w:t xml:space="preserve">CSO (2009), </w:t>
      </w:r>
      <w:r w:rsidRPr="007B5316">
        <w:rPr>
          <w:rFonts w:cs="Arial"/>
          <w:i/>
          <w:sz w:val="24"/>
          <w:szCs w:val="24"/>
        </w:rPr>
        <w:t>Children and Young People in Ireland 2008</w:t>
      </w:r>
      <w:r w:rsidRPr="007B5316">
        <w:rPr>
          <w:rFonts w:cs="Arial"/>
          <w:sz w:val="24"/>
          <w:szCs w:val="24"/>
        </w:rPr>
        <w:t>, Cork: Central Statistics Office</w:t>
      </w:r>
      <w:r w:rsidRPr="007B5316">
        <w:rPr>
          <w:sz w:val="24"/>
          <w:szCs w:val="24"/>
        </w:rPr>
        <w:t xml:space="preserve"> </w:t>
      </w:r>
    </w:p>
    <w:p w14:paraId="43D6094A" w14:textId="77777777" w:rsidR="00DD2118" w:rsidRPr="007B5316" w:rsidRDefault="00DD2118" w:rsidP="007B5316">
      <w:pPr>
        <w:spacing w:line="360" w:lineRule="auto"/>
        <w:jc w:val="both"/>
        <w:rPr>
          <w:sz w:val="24"/>
          <w:szCs w:val="24"/>
        </w:rPr>
      </w:pPr>
      <w:r w:rsidRPr="007B5316">
        <w:rPr>
          <w:sz w:val="24"/>
          <w:szCs w:val="24"/>
        </w:rPr>
        <w:t xml:space="preserve">CSO (2017), </w:t>
      </w:r>
      <w:r w:rsidRPr="007B5316">
        <w:rPr>
          <w:i/>
          <w:sz w:val="24"/>
          <w:szCs w:val="24"/>
        </w:rPr>
        <w:t>Vital Statistics Yearly Summary 2016</w:t>
      </w:r>
      <w:r w:rsidRPr="007B5316">
        <w:rPr>
          <w:sz w:val="24"/>
          <w:szCs w:val="24"/>
        </w:rPr>
        <w:t>, Cork: Central Statistics Office</w:t>
      </w:r>
    </w:p>
    <w:p w14:paraId="3237EE3F" w14:textId="77777777" w:rsidR="00DD2118" w:rsidRPr="007B5316" w:rsidRDefault="00DD2118" w:rsidP="007B5316">
      <w:pPr>
        <w:autoSpaceDE w:val="0"/>
        <w:autoSpaceDN w:val="0"/>
        <w:adjustRightInd w:val="0"/>
        <w:spacing w:after="0" w:line="360" w:lineRule="auto"/>
        <w:jc w:val="both"/>
        <w:rPr>
          <w:sz w:val="24"/>
          <w:szCs w:val="24"/>
        </w:rPr>
      </w:pPr>
      <w:r w:rsidRPr="007B5316">
        <w:rPr>
          <w:sz w:val="24"/>
          <w:szCs w:val="24"/>
        </w:rPr>
        <w:t xml:space="preserve">DES (2012), </w:t>
      </w:r>
      <w:r w:rsidRPr="007B5316">
        <w:rPr>
          <w:i/>
          <w:sz w:val="24"/>
          <w:szCs w:val="24"/>
        </w:rPr>
        <w:t>Projections of Full-Time Enrolment: Primary and Second Level 2012-2030</w:t>
      </w:r>
      <w:r w:rsidRPr="007B5316">
        <w:rPr>
          <w:sz w:val="24"/>
          <w:szCs w:val="24"/>
        </w:rPr>
        <w:t>, Dublin: Department of Education and Skills</w:t>
      </w:r>
    </w:p>
    <w:p w14:paraId="08625956" w14:textId="798A9307" w:rsidR="00DD2118" w:rsidRPr="007B5316" w:rsidRDefault="002B7C4F" w:rsidP="007B5316">
      <w:pPr>
        <w:autoSpaceDE w:val="0"/>
        <w:autoSpaceDN w:val="0"/>
        <w:adjustRightInd w:val="0"/>
        <w:spacing w:after="0" w:line="360" w:lineRule="auto"/>
        <w:jc w:val="both"/>
        <w:rPr>
          <w:sz w:val="24"/>
          <w:szCs w:val="24"/>
        </w:rPr>
      </w:pPr>
      <w:r w:rsidRPr="007B5316">
        <w:rPr>
          <w:sz w:val="24"/>
          <w:szCs w:val="24"/>
        </w:rPr>
        <w:t>DES (2017</w:t>
      </w:r>
      <w:r w:rsidR="00DD2118" w:rsidRPr="007B5316">
        <w:rPr>
          <w:sz w:val="24"/>
          <w:szCs w:val="24"/>
        </w:rPr>
        <w:t xml:space="preserve">), </w:t>
      </w:r>
      <w:r w:rsidR="00DD2118" w:rsidRPr="007B5316">
        <w:rPr>
          <w:i/>
          <w:sz w:val="24"/>
          <w:szCs w:val="24"/>
        </w:rPr>
        <w:t>Projections of Full-Time Enrolment: Primary and Second Level 2017-2035</w:t>
      </w:r>
      <w:r w:rsidR="00DD2118" w:rsidRPr="007B5316">
        <w:rPr>
          <w:sz w:val="24"/>
          <w:szCs w:val="24"/>
        </w:rPr>
        <w:t>, Dublin: Department of Education and Skills</w:t>
      </w:r>
    </w:p>
    <w:p w14:paraId="4009F6CF" w14:textId="77777777" w:rsidR="00DD2118" w:rsidRPr="007B5316" w:rsidRDefault="00DD2118" w:rsidP="007B5316">
      <w:pPr>
        <w:spacing w:line="360" w:lineRule="auto"/>
        <w:jc w:val="both"/>
        <w:rPr>
          <w:rFonts w:cs="Arial"/>
          <w:sz w:val="24"/>
          <w:szCs w:val="24"/>
        </w:rPr>
      </w:pPr>
      <w:r w:rsidRPr="007B5316">
        <w:rPr>
          <w:sz w:val="24"/>
          <w:szCs w:val="24"/>
        </w:rPr>
        <w:t xml:space="preserve">DES (2018), </w:t>
      </w:r>
      <w:r w:rsidRPr="007B5316">
        <w:rPr>
          <w:i/>
          <w:sz w:val="24"/>
          <w:szCs w:val="24"/>
        </w:rPr>
        <w:t>Chief Inspector’s Report 2013-2016</w:t>
      </w:r>
      <w:r w:rsidRPr="007B5316">
        <w:rPr>
          <w:sz w:val="24"/>
          <w:szCs w:val="24"/>
        </w:rPr>
        <w:t>, Dublin: Department of Education and Skills Inspectorate</w:t>
      </w:r>
      <w:r w:rsidRPr="007B5316">
        <w:rPr>
          <w:rFonts w:cs="Arial"/>
          <w:sz w:val="24"/>
          <w:szCs w:val="24"/>
        </w:rPr>
        <w:t xml:space="preserve"> </w:t>
      </w:r>
    </w:p>
    <w:p w14:paraId="18A2A6D6" w14:textId="4C8701B6" w:rsidR="009C794E" w:rsidRPr="007B5316" w:rsidRDefault="009C794E" w:rsidP="007B5316">
      <w:pPr>
        <w:spacing w:line="360" w:lineRule="auto"/>
        <w:jc w:val="both"/>
        <w:rPr>
          <w:rFonts w:cs="Arial"/>
          <w:sz w:val="24"/>
          <w:szCs w:val="24"/>
        </w:rPr>
      </w:pPr>
      <w:r w:rsidRPr="007B5316">
        <w:rPr>
          <w:rFonts w:cs="Arial"/>
          <w:sz w:val="24"/>
          <w:szCs w:val="24"/>
        </w:rPr>
        <w:t>DP</w:t>
      </w:r>
      <w:r w:rsidR="00D94643" w:rsidRPr="007B5316">
        <w:rPr>
          <w:rFonts w:cs="Arial"/>
          <w:sz w:val="24"/>
          <w:szCs w:val="24"/>
        </w:rPr>
        <w:t xml:space="preserve">ER (2018), </w:t>
      </w:r>
      <w:r w:rsidR="00D94643" w:rsidRPr="007B5316">
        <w:rPr>
          <w:rFonts w:cs="Arial"/>
          <w:i/>
          <w:sz w:val="24"/>
          <w:szCs w:val="24"/>
        </w:rPr>
        <w:t>Spending Review 2018:</w:t>
      </w:r>
      <w:r w:rsidRPr="007B5316">
        <w:rPr>
          <w:rFonts w:cs="Arial"/>
          <w:i/>
          <w:sz w:val="24"/>
          <w:szCs w:val="24"/>
        </w:rPr>
        <w:t xml:space="preserve"> Pay Expenditure Drivers at Primary and Second Level</w:t>
      </w:r>
      <w:r w:rsidRPr="007B5316">
        <w:rPr>
          <w:rFonts w:cs="Arial"/>
          <w:sz w:val="24"/>
          <w:szCs w:val="24"/>
        </w:rPr>
        <w:t>, Dublin: Department of Public Expenditure a</w:t>
      </w:r>
      <w:r w:rsidR="00C3579A">
        <w:rPr>
          <w:rFonts w:cs="Arial"/>
          <w:sz w:val="24"/>
          <w:szCs w:val="24"/>
        </w:rPr>
        <w:t>n</w:t>
      </w:r>
      <w:r w:rsidRPr="007B5316">
        <w:rPr>
          <w:rFonts w:cs="Arial"/>
          <w:sz w:val="24"/>
          <w:szCs w:val="24"/>
        </w:rPr>
        <w:t>d Reform</w:t>
      </w:r>
    </w:p>
    <w:p w14:paraId="3D5B66EA" w14:textId="77777777" w:rsidR="005C356F" w:rsidRPr="007B5316" w:rsidRDefault="005C356F" w:rsidP="007B5316">
      <w:pPr>
        <w:spacing w:line="360" w:lineRule="auto"/>
        <w:jc w:val="both"/>
        <w:rPr>
          <w:rFonts w:cs="Arial"/>
          <w:sz w:val="24"/>
          <w:szCs w:val="24"/>
        </w:rPr>
      </w:pPr>
      <w:r w:rsidRPr="007B5316">
        <w:rPr>
          <w:rFonts w:cs="Arial"/>
          <w:sz w:val="24"/>
          <w:szCs w:val="24"/>
        </w:rPr>
        <w:t xml:space="preserve">ESRI (2018), </w:t>
      </w:r>
      <w:r w:rsidRPr="007B5316">
        <w:rPr>
          <w:rFonts w:cs="Arial"/>
          <w:i/>
          <w:sz w:val="24"/>
          <w:szCs w:val="24"/>
        </w:rPr>
        <w:t>Quarterly Economic Commentary, Summer 2018</w:t>
      </w:r>
      <w:r w:rsidRPr="007B5316">
        <w:rPr>
          <w:rFonts w:cs="Arial"/>
          <w:sz w:val="24"/>
          <w:szCs w:val="24"/>
        </w:rPr>
        <w:t>, Dublin: Economic and Social Research Institute</w:t>
      </w:r>
    </w:p>
    <w:p w14:paraId="274CF435" w14:textId="77777777" w:rsidR="00DD2118" w:rsidRPr="007B5316" w:rsidRDefault="00DD2118" w:rsidP="007B5316">
      <w:pPr>
        <w:autoSpaceDE w:val="0"/>
        <w:autoSpaceDN w:val="0"/>
        <w:adjustRightInd w:val="0"/>
        <w:spacing w:after="0" w:line="360" w:lineRule="auto"/>
        <w:jc w:val="both"/>
        <w:rPr>
          <w:rFonts w:eastAsia="BrandonGrotesque-Regular" w:cs="Arial"/>
          <w:sz w:val="24"/>
          <w:szCs w:val="24"/>
        </w:rPr>
      </w:pPr>
      <w:r w:rsidRPr="007B5316">
        <w:rPr>
          <w:rFonts w:eastAsia="BrandonGrotesque-Regular" w:cs="Arial"/>
          <w:sz w:val="24"/>
          <w:szCs w:val="24"/>
        </w:rPr>
        <w:t xml:space="preserve">EU Commission (2017), </w:t>
      </w:r>
      <w:r w:rsidRPr="007B5316">
        <w:rPr>
          <w:rFonts w:eastAsia="BrandonGrotesque-Regular" w:cs="Arial"/>
          <w:i/>
          <w:sz w:val="24"/>
          <w:szCs w:val="24"/>
        </w:rPr>
        <w:t>Education and Training Monitor 2017 Ireland</w:t>
      </w:r>
      <w:r w:rsidRPr="007B5316">
        <w:rPr>
          <w:rFonts w:eastAsia="BrandonGrotesque-Regular" w:cs="Arial"/>
          <w:sz w:val="24"/>
          <w:szCs w:val="24"/>
        </w:rPr>
        <w:t>, Luxembourg: Publications Office of the European Union</w:t>
      </w:r>
    </w:p>
    <w:p w14:paraId="163BE792" w14:textId="77777777" w:rsidR="00AB4A4D" w:rsidRPr="007B5316" w:rsidRDefault="00AB4A4D" w:rsidP="007B5316">
      <w:pPr>
        <w:spacing w:line="360" w:lineRule="auto"/>
        <w:jc w:val="both"/>
        <w:rPr>
          <w:sz w:val="24"/>
          <w:szCs w:val="24"/>
        </w:rPr>
      </w:pPr>
      <w:r w:rsidRPr="007B5316">
        <w:rPr>
          <w:rFonts w:cs="Arial"/>
          <w:sz w:val="24"/>
          <w:szCs w:val="24"/>
        </w:rPr>
        <w:t xml:space="preserve">EU Commission / EACEA / Eurydice (2018), </w:t>
      </w:r>
      <w:r w:rsidRPr="007B5316">
        <w:rPr>
          <w:rFonts w:cs="Arial"/>
          <w:i/>
          <w:sz w:val="24"/>
          <w:szCs w:val="24"/>
        </w:rPr>
        <w:t>The European Higher Education Area in 2018: Bologna process implementation report</w:t>
      </w:r>
      <w:r w:rsidRPr="007B5316">
        <w:rPr>
          <w:rFonts w:cs="Arial"/>
          <w:sz w:val="24"/>
          <w:szCs w:val="24"/>
        </w:rPr>
        <w:t>, Luxembourg: Publications Office of the European Union</w:t>
      </w:r>
      <w:r w:rsidRPr="007B5316">
        <w:rPr>
          <w:sz w:val="24"/>
          <w:szCs w:val="24"/>
        </w:rPr>
        <w:t xml:space="preserve"> </w:t>
      </w:r>
    </w:p>
    <w:p w14:paraId="4E414A87" w14:textId="3B6469CE" w:rsidR="00DD2118" w:rsidRPr="007B5316" w:rsidRDefault="00DD2118" w:rsidP="007B5316">
      <w:pPr>
        <w:spacing w:line="360" w:lineRule="auto"/>
        <w:jc w:val="both"/>
        <w:rPr>
          <w:sz w:val="24"/>
          <w:szCs w:val="24"/>
        </w:rPr>
      </w:pPr>
      <w:r w:rsidRPr="007B5316">
        <w:rPr>
          <w:sz w:val="24"/>
          <w:szCs w:val="24"/>
        </w:rPr>
        <w:t xml:space="preserve">Eurostat (2015), </w:t>
      </w:r>
      <w:r w:rsidRPr="007B5316">
        <w:rPr>
          <w:i/>
          <w:sz w:val="24"/>
          <w:szCs w:val="24"/>
        </w:rPr>
        <w:t>Being Young in Europe Today</w:t>
      </w:r>
      <w:r w:rsidRPr="007B5316">
        <w:rPr>
          <w:sz w:val="24"/>
          <w:szCs w:val="24"/>
        </w:rPr>
        <w:t>, Luxembourg: Publications Office of the European Union</w:t>
      </w:r>
    </w:p>
    <w:p w14:paraId="39D4FC81" w14:textId="77777777" w:rsidR="00DD2118" w:rsidRPr="007B5316" w:rsidRDefault="00DD2118" w:rsidP="007B5316">
      <w:pPr>
        <w:spacing w:line="360" w:lineRule="auto"/>
        <w:jc w:val="both"/>
        <w:rPr>
          <w:sz w:val="24"/>
          <w:szCs w:val="24"/>
        </w:rPr>
      </w:pPr>
      <w:r w:rsidRPr="007B5316">
        <w:rPr>
          <w:sz w:val="24"/>
          <w:szCs w:val="24"/>
        </w:rPr>
        <w:t xml:space="preserve">Eurostat (2017), </w:t>
      </w:r>
      <w:r w:rsidRPr="007B5316">
        <w:rPr>
          <w:i/>
          <w:sz w:val="24"/>
          <w:szCs w:val="24"/>
        </w:rPr>
        <w:t>Fertility Statistics</w:t>
      </w:r>
      <w:r w:rsidRPr="007B5316">
        <w:rPr>
          <w:sz w:val="24"/>
          <w:szCs w:val="24"/>
        </w:rPr>
        <w:t>, Luxembourg: Publications Office of the European Union</w:t>
      </w:r>
    </w:p>
    <w:p w14:paraId="13B0A321" w14:textId="77777777" w:rsidR="005C356F" w:rsidRPr="007B5316" w:rsidRDefault="005C356F" w:rsidP="007B5316">
      <w:pPr>
        <w:spacing w:line="360" w:lineRule="auto"/>
        <w:jc w:val="both"/>
        <w:rPr>
          <w:rFonts w:cs="Arial"/>
          <w:sz w:val="24"/>
          <w:szCs w:val="24"/>
        </w:rPr>
      </w:pPr>
      <w:r w:rsidRPr="007B5316">
        <w:rPr>
          <w:rFonts w:cs="Arial"/>
          <w:sz w:val="24"/>
          <w:szCs w:val="24"/>
        </w:rPr>
        <w:lastRenderedPageBreak/>
        <w:t xml:space="preserve">EY (2018), </w:t>
      </w:r>
      <w:r w:rsidRPr="007B5316">
        <w:rPr>
          <w:rFonts w:cs="Arial"/>
          <w:i/>
          <w:sz w:val="24"/>
          <w:szCs w:val="24"/>
        </w:rPr>
        <w:t>Economic Eye Summer Forecast</w:t>
      </w:r>
      <w:r w:rsidRPr="007B5316">
        <w:rPr>
          <w:rFonts w:cs="Arial"/>
          <w:sz w:val="24"/>
          <w:szCs w:val="24"/>
        </w:rPr>
        <w:t>, Dublin: Ernst &amp; Young Ireland</w:t>
      </w:r>
    </w:p>
    <w:p w14:paraId="3C5DAC95" w14:textId="77777777" w:rsidR="005B6EFF" w:rsidRPr="007B5316" w:rsidRDefault="005B6EFF" w:rsidP="007B5316">
      <w:pPr>
        <w:spacing w:line="360" w:lineRule="auto"/>
        <w:jc w:val="both"/>
        <w:rPr>
          <w:rFonts w:cs="Arial"/>
          <w:sz w:val="24"/>
          <w:szCs w:val="24"/>
        </w:rPr>
      </w:pPr>
      <w:r w:rsidRPr="007B5316">
        <w:rPr>
          <w:rFonts w:cs="Arial"/>
          <w:sz w:val="24"/>
          <w:szCs w:val="24"/>
        </w:rPr>
        <w:t xml:space="preserve">Fischer, K. (2016), </w:t>
      </w:r>
      <w:r w:rsidRPr="007B5316">
        <w:rPr>
          <w:rFonts w:cs="Arial"/>
          <w:i/>
          <w:sz w:val="24"/>
          <w:szCs w:val="24"/>
        </w:rPr>
        <w:t>Schools and the Politics of Religion and Diversity in the Republic of Ireland</w:t>
      </w:r>
      <w:r w:rsidRPr="007B5316">
        <w:rPr>
          <w:rFonts w:cs="Arial"/>
          <w:sz w:val="24"/>
          <w:szCs w:val="24"/>
        </w:rPr>
        <w:t>, Manchester, UK: Manchester University Press</w:t>
      </w:r>
    </w:p>
    <w:p w14:paraId="3AE7A413" w14:textId="02817B23" w:rsidR="00DD2118" w:rsidRPr="007B5316" w:rsidRDefault="00DD2118" w:rsidP="007B5316">
      <w:pPr>
        <w:spacing w:line="360" w:lineRule="auto"/>
        <w:jc w:val="both"/>
        <w:rPr>
          <w:rFonts w:cs="Arial"/>
          <w:sz w:val="24"/>
          <w:szCs w:val="24"/>
        </w:rPr>
      </w:pPr>
      <w:r w:rsidRPr="007B5316">
        <w:rPr>
          <w:rFonts w:cs="Arial"/>
          <w:sz w:val="24"/>
          <w:szCs w:val="24"/>
        </w:rPr>
        <w:t xml:space="preserve">Growing Up in Ireland (2017), </w:t>
      </w:r>
      <w:r w:rsidRPr="007B5316">
        <w:rPr>
          <w:rFonts w:cs="Arial"/>
          <w:i/>
          <w:sz w:val="24"/>
          <w:szCs w:val="24"/>
        </w:rPr>
        <w:t>Key Findings: Infant cohort at 7/8 years, School and learning</w:t>
      </w:r>
      <w:r w:rsidRPr="007B5316">
        <w:rPr>
          <w:rFonts w:cs="Arial"/>
          <w:sz w:val="24"/>
          <w:szCs w:val="24"/>
        </w:rPr>
        <w:t xml:space="preserve">, Dublin: ESRI </w:t>
      </w:r>
    </w:p>
    <w:p w14:paraId="638E441E" w14:textId="77777777" w:rsidR="00DD2118" w:rsidRPr="007B5316" w:rsidRDefault="00DD2118" w:rsidP="007B5316">
      <w:pPr>
        <w:spacing w:line="360" w:lineRule="auto"/>
        <w:jc w:val="both"/>
        <w:rPr>
          <w:sz w:val="24"/>
          <w:szCs w:val="24"/>
        </w:rPr>
      </w:pPr>
      <w:r w:rsidRPr="007B5316">
        <w:rPr>
          <w:sz w:val="24"/>
          <w:szCs w:val="24"/>
        </w:rPr>
        <w:t xml:space="preserve">Growing Up in Scotland (2012), </w:t>
      </w:r>
      <w:r w:rsidRPr="007B5316">
        <w:rPr>
          <w:i/>
          <w:sz w:val="24"/>
          <w:szCs w:val="24"/>
        </w:rPr>
        <w:t>Early Experiences of Primary School</w:t>
      </w:r>
    </w:p>
    <w:p w14:paraId="32641637" w14:textId="77777777" w:rsidR="00DD2118" w:rsidRPr="007B5316" w:rsidRDefault="00DD2118" w:rsidP="007B5316">
      <w:pPr>
        <w:spacing w:line="360" w:lineRule="auto"/>
        <w:jc w:val="both"/>
        <w:rPr>
          <w:rFonts w:cs="Arial"/>
          <w:sz w:val="24"/>
          <w:szCs w:val="24"/>
        </w:rPr>
      </w:pPr>
      <w:r w:rsidRPr="007B5316">
        <w:rPr>
          <w:sz w:val="24"/>
          <w:szCs w:val="24"/>
        </w:rPr>
        <w:t>IMF</w:t>
      </w:r>
      <w:r w:rsidRPr="007B5316">
        <w:rPr>
          <w:rFonts w:cs="Arial"/>
          <w:sz w:val="24"/>
          <w:szCs w:val="24"/>
        </w:rPr>
        <w:t xml:space="preserve"> (2017), </w:t>
      </w:r>
      <w:r w:rsidRPr="007B5316">
        <w:rPr>
          <w:rFonts w:cs="Arial"/>
          <w:i/>
          <w:sz w:val="24"/>
          <w:szCs w:val="24"/>
        </w:rPr>
        <w:t>World Economic Outlook</w:t>
      </w:r>
      <w:r w:rsidRPr="007B5316">
        <w:rPr>
          <w:rFonts w:cs="Arial"/>
          <w:sz w:val="24"/>
          <w:szCs w:val="24"/>
        </w:rPr>
        <w:t>, Washington DC: International Monetary Fund</w:t>
      </w:r>
    </w:p>
    <w:p w14:paraId="41DC03C6" w14:textId="77777777" w:rsidR="00A1084A" w:rsidRPr="007B5316" w:rsidRDefault="00A1084A" w:rsidP="007B5316">
      <w:pPr>
        <w:spacing w:after="200" w:line="360" w:lineRule="auto"/>
        <w:jc w:val="both"/>
        <w:rPr>
          <w:sz w:val="24"/>
          <w:szCs w:val="24"/>
        </w:rPr>
      </w:pPr>
      <w:r w:rsidRPr="007B5316">
        <w:rPr>
          <w:rFonts w:cs="Arial"/>
          <w:sz w:val="24"/>
          <w:szCs w:val="24"/>
        </w:rPr>
        <w:t xml:space="preserve">NCSE (2015), </w:t>
      </w:r>
      <w:r w:rsidRPr="007B5316">
        <w:rPr>
          <w:rFonts w:cs="Arial"/>
          <w:i/>
          <w:sz w:val="24"/>
          <w:szCs w:val="24"/>
        </w:rPr>
        <w:t>Supporting Students with Autism Spectrum Disorder in Schools</w:t>
      </w:r>
      <w:r w:rsidRPr="007B5316">
        <w:rPr>
          <w:rFonts w:cs="Arial"/>
          <w:sz w:val="24"/>
          <w:szCs w:val="24"/>
        </w:rPr>
        <w:t>, Trim: National Council for Special Education</w:t>
      </w:r>
      <w:r w:rsidRPr="007B5316">
        <w:rPr>
          <w:sz w:val="24"/>
          <w:szCs w:val="24"/>
        </w:rPr>
        <w:t xml:space="preserve"> </w:t>
      </w:r>
    </w:p>
    <w:p w14:paraId="1D738C9B" w14:textId="77777777" w:rsidR="004F4FDD" w:rsidRPr="00C754C2" w:rsidRDefault="004F4FDD" w:rsidP="004F4FDD">
      <w:pPr>
        <w:spacing w:line="360" w:lineRule="auto"/>
        <w:rPr>
          <w:rFonts w:cs="Arial"/>
          <w:sz w:val="24"/>
          <w:szCs w:val="24"/>
          <w:lang w:val="en-US"/>
        </w:rPr>
      </w:pPr>
      <w:r w:rsidRPr="00C754C2">
        <w:rPr>
          <w:rFonts w:cs="Arial"/>
          <w:sz w:val="24"/>
          <w:szCs w:val="24"/>
        </w:rPr>
        <w:t xml:space="preserve">NERI (2018), </w:t>
      </w:r>
      <w:r w:rsidRPr="00C754C2">
        <w:rPr>
          <w:rFonts w:cs="Arial"/>
          <w:i/>
          <w:sz w:val="24"/>
          <w:szCs w:val="24"/>
        </w:rPr>
        <w:t>Quarterly Economic Observer, Summer 2018</w:t>
      </w:r>
      <w:r w:rsidRPr="00C754C2">
        <w:rPr>
          <w:rFonts w:cs="Arial"/>
          <w:sz w:val="24"/>
          <w:szCs w:val="24"/>
        </w:rPr>
        <w:t>, Dublin: Nevin Economic Research Institute</w:t>
      </w:r>
      <w:r w:rsidRPr="00C754C2">
        <w:rPr>
          <w:rFonts w:cs="Arial"/>
          <w:sz w:val="24"/>
          <w:szCs w:val="24"/>
          <w:lang w:val="en-US"/>
        </w:rPr>
        <w:t xml:space="preserve"> </w:t>
      </w:r>
    </w:p>
    <w:p w14:paraId="7AE167C1" w14:textId="77777777" w:rsidR="00DD2118" w:rsidRPr="007B5316" w:rsidRDefault="00DD2118" w:rsidP="007B5316">
      <w:pPr>
        <w:spacing w:after="200" w:line="360" w:lineRule="auto"/>
        <w:jc w:val="both"/>
        <w:rPr>
          <w:sz w:val="24"/>
          <w:szCs w:val="24"/>
        </w:rPr>
      </w:pPr>
      <w:r w:rsidRPr="007B5316">
        <w:rPr>
          <w:sz w:val="24"/>
          <w:szCs w:val="24"/>
        </w:rPr>
        <w:t xml:space="preserve">OECD (2009), </w:t>
      </w:r>
      <w:r w:rsidRPr="007B5316">
        <w:rPr>
          <w:i/>
          <w:sz w:val="24"/>
          <w:szCs w:val="24"/>
        </w:rPr>
        <w:t>Education at a Glance</w:t>
      </w:r>
      <w:r w:rsidRPr="007B5316">
        <w:rPr>
          <w:sz w:val="24"/>
          <w:szCs w:val="24"/>
        </w:rPr>
        <w:t xml:space="preserve">, Paris: Organisation for Economic Co-operation and Development </w:t>
      </w:r>
    </w:p>
    <w:p w14:paraId="34564DA7" w14:textId="77777777" w:rsidR="00DD2118" w:rsidRPr="007B5316" w:rsidRDefault="00DD2118" w:rsidP="007B5316">
      <w:pPr>
        <w:spacing w:after="200" w:line="360" w:lineRule="auto"/>
        <w:jc w:val="both"/>
        <w:rPr>
          <w:sz w:val="24"/>
          <w:szCs w:val="24"/>
        </w:rPr>
      </w:pPr>
      <w:r w:rsidRPr="007B5316">
        <w:rPr>
          <w:sz w:val="24"/>
          <w:szCs w:val="24"/>
        </w:rPr>
        <w:t xml:space="preserve">OECD (2013), </w:t>
      </w:r>
      <w:r w:rsidRPr="007B5316">
        <w:rPr>
          <w:i/>
          <w:sz w:val="24"/>
          <w:szCs w:val="24"/>
        </w:rPr>
        <w:t>Education at a Glance</w:t>
      </w:r>
      <w:r w:rsidRPr="007B5316">
        <w:rPr>
          <w:sz w:val="24"/>
          <w:szCs w:val="24"/>
        </w:rPr>
        <w:t xml:space="preserve">, Paris: Organisation for Economic Co-operation and Development </w:t>
      </w:r>
    </w:p>
    <w:p w14:paraId="5224F2F0" w14:textId="2114770A" w:rsidR="00E952F4" w:rsidRPr="007B5316" w:rsidRDefault="00E952F4" w:rsidP="007B5316">
      <w:pPr>
        <w:spacing w:line="360" w:lineRule="auto"/>
        <w:jc w:val="both"/>
        <w:rPr>
          <w:rFonts w:cs="Arial"/>
          <w:sz w:val="24"/>
          <w:szCs w:val="24"/>
        </w:rPr>
      </w:pPr>
      <w:r w:rsidRPr="007B5316">
        <w:rPr>
          <w:rFonts w:cs="Arial"/>
          <w:sz w:val="24"/>
          <w:szCs w:val="24"/>
        </w:rPr>
        <w:t xml:space="preserve">OECD (2015a), </w:t>
      </w:r>
      <w:r w:rsidRPr="007B5316">
        <w:rPr>
          <w:rFonts w:cs="Arial"/>
          <w:i/>
          <w:sz w:val="24"/>
          <w:szCs w:val="24"/>
        </w:rPr>
        <w:t>Government at a Glance 2015</w:t>
      </w:r>
      <w:r w:rsidRPr="007B5316">
        <w:rPr>
          <w:rFonts w:cs="Arial"/>
          <w:sz w:val="24"/>
          <w:szCs w:val="24"/>
        </w:rPr>
        <w:t>, Paris: OECD Publishing</w:t>
      </w:r>
    </w:p>
    <w:p w14:paraId="6DEDC0EE" w14:textId="601A72BA" w:rsidR="00DD2118" w:rsidRPr="007B5316" w:rsidRDefault="00DD2118" w:rsidP="007B5316">
      <w:pPr>
        <w:spacing w:line="360" w:lineRule="auto"/>
        <w:jc w:val="both"/>
        <w:rPr>
          <w:rFonts w:cs="Arial"/>
          <w:sz w:val="24"/>
          <w:szCs w:val="24"/>
        </w:rPr>
      </w:pPr>
      <w:r w:rsidRPr="007B5316">
        <w:rPr>
          <w:rFonts w:cs="Arial"/>
          <w:sz w:val="24"/>
          <w:szCs w:val="24"/>
        </w:rPr>
        <w:t>OECD (2015</w:t>
      </w:r>
      <w:r w:rsidR="00E952F4" w:rsidRPr="007B5316">
        <w:rPr>
          <w:rFonts w:cs="Arial"/>
          <w:sz w:val="24"/>
          <w:szCs w:val="24"/>
        </w:rPr>
        <w:t>b</w:t>
      </w:r>
      <w:r w:rsidRPr="007B5316">
        <w:rPr>
          <w:rFonts w:cs="Arial"/>
          <w:sz w:val="24"/>
          <w:szCs w:val="24"/>
        </w:rPr>
        <w:t xml:space="preserve">), </w:t>
      </w:r>
      <w:r w:rsidRPr="007B5316">
        <w:rPr>
          <w:rFonts w:cs="Arial"/>
          <w:i/>
          <w:sz w:val="24"/>
          <w:szCs w:val="24"/>
        </w:rPr>
        <w:t>Education at a Glance 2015</w:t>
      </w:r>
      <w:r w:rsidRPr="007B5316">
        <w:rPr>
          <w:rFonts w:cs="Arial"/>
          <w:sz w:val="24"/>
          <w:szCs w:val="24"/>
        </w:rPr>
        <w:t>, Paris: OECD Publishing</w:t>
      </w:r>
    </w:p>
    <w:p w14:paraId="156CBD6E" w14:textId="7B3D37E8" w:rsidR="00072A73" w:rsidRPr="007B5316" w:rsidRDefault="00072A73" w:rsidP="007B5316">
      <w:pPr>
        <w:spacing w:line="360" w:lineRule="auto"/>
        <w:jc w:val="both"/>
        <w:rPr>
          <w:rFonts w:cs="Arial"/>
          <w:sz w:val="24"/>
          <w:szCs w:val="24"/>
        </w:rPr>
      </w:pPr>
      <w:r w:rsidRPr="007B5316">
        <w:rPr>
          <w:rFonts w:cs="Arial"/>
          <w:sz w:val="24"/>
          <w:szCs w:val="24"/>
        </w:rPr>
        <w:t xml:space="preserve">OECD (2017), </w:t>
      </w:r>
      <w:r w:rsidRPr="007B5316">
        <w:rPr>
          <w:rFonts w:cs="Arial"/>
          <w:i/>
          <w:sz w:val="24"/>
          <w:szCs w:val="24"/>
        </w:rPr>
        <w:t>Economic Outlook 2017</w:t>
      </w:r>
      <w:r w:rsidRPr="007B5316">
        <w:rPr>
          <w:rFonts w:cs="Arial"/>
          <w:sz w:val="24"/>
          <w:szCs w:val="24"/>
        </w:rPr>
        <w:t>, Paris: OECD Publishing</w:t>
      </w:r>
    </w:p>
    <w:p w14:paraId="3DB83E62" w14:textId="77777777" w:rsidR="00CC447F" w:rsidRPr="007B5316" w:rsidRDefault="00CC447F" w:rsidP="007B5316">
      <w:pPr>
        <w:autoSpaceDE w:val="0"/>
        <w:autoSpaceDN w:val="0"/>
        <w:adjustRightInd w:val="0"/>
        <w:spacing w:after="0" w:line="360" w:lineRule="auto"/>
        <w:jc w:val="both"/>
        <w:rPr>
          <w:rFonts w:cs="Arial"/>
          <w:sz w:val="24"/>
          <w:szCs w:val="24"/>
        </w:rPr>
      </w:pPr>
      <w:r w:rsidRPr="007B5316">
        <w:rPr>
          <w:rFonts w:cs="Arial"/>
          <w:sz w:val="24"/>
          <w:szCs w:val="24"/>
        </w:rPr>
        <w:t xml:space="preserve">Scanlon, G. &amp; McKenna, G. (2018), </w:t>
      </w:r>
      <w:r w:rsidRPr="007B5316">
        <w:rPr>
          <w:rFonts w:cs="Arial"/>
          <w:i/>
          <w:sz w:val="24"/>
          <w:szCs w:val="24"/>
        </w:rPr>
        <w:t>Home Works: A study on the educational needs of children experiencing homelessness and living in emergency accommodation</w:t>
      </w:r>
      <w:r w:rsidRPr="007B5316">
        <w:rPr>
          <w:rFonts w:cs="Arial"/>
          <w:sz w:val="24"/>
          <w:szCs w:val="24"/>
        </w:rPr>
        <w:t xml:space="preserve">, Dublin: Children’s Rights Alliance </w:t>
      </w:r>
    </w:p>
    <w:p w14:paraId="1D22FD93" w14:textId="649EDE04" w:rsidR="00E952F4" w:rsidRPr="007B5316" w:rsidRDefault="00E952F4" w:rsidP="007B5316">
      <w:pPr>
        <w:autoSpaceDE w:val="0"/>
        <w:autoSpaceDN w:val="0"/>
        <w:adjustRightInd w:val="0"/>
        <w:spacing w:after="0" w:line="360" w:lineRule="auto"/>
        <w:jc w:val="both"/>
        <w:rPr>
          <w:rFonts w:cs="Arial"/>
          <w:color w:val="000000"/>
          <w:sz w:val="24"/>
          <w:szCs w:val="24"/>
        </w:rPr>
      </w:pPr>
      <w:r w:rsidRPr="007B5316">
        <w:rPr>
          <w:rFonts w:cs="Arial"/>
          <w:color w:val="000000"/>
          <w:sz w:val="24"/>
          <w:szCs w:val="24"/>
        </w:rPr>
        <w:t xml:space="preserve">SJI (2018), </w:t>
      </w:r>
      <w:r w:rsidRPr="007B5316">
        <w:rPr>
          <w:rFonts w:cs="Arial"/>
          <w:i/>
          <w:color w:val="000000"/>
          <w:sz w:val="24"/>
          <w:szCs w:val="24"/>
        </w:rPr>
        <w:t>Poverty Focus 2018</w:t>
      </w:r>
      <w:r w:rsidRPr="007B5316">
        <w:rPr>
          <w:rFonts w:cs="Arial"/>
          <w:color w:val="000000"/>
          <w:sz w:val="24"/>
          <w:szCs w:val="24"/>
        </w:rPr>
        <w:t>, Dublin: Social Justice Ireland</w:t>
      </w:r>
    </w:p>
    <w:p w14:paraId="18CB66E4" w14:textId="15FDEC52" w:rsidR="00DD2118" w:rsidRPr="007B5316" w:rsidRDefault="00DD2118" w:rsidP="007B5316">
      <w:pPr>
        <w:spacing w:line="360" w:lineRule="auto"/>
        <w:jc w:val="both"/>
        <w:rPr>
          <w:sz w:val="24"/>
          <w:szCs w:val="24"/>
        </w:rPr>
      </w:pPr>
      <w:r w:rsidRPr="007B5316">
        <w:rPr>
          <w:rFonts w:cs="Arial"/>
          <w:sz w:val="24"/>
          <w:szCs w:val="24"/>
        </w:rPr>
        <w:t xml:space="preserve">Teaching Council (2010), </w:t>
      </w:r>
      <w:r w:rsidRPr="007B5316">
        <w:rPr>
          <w:rFonts w:cs="Arial"/>
          <w:i/>
          <w:sz w:val="24"/>
          <w:szCs w:val="24"/>
        </w:rPr>
        <w:t>Evaluation of Public Attitudes to the Teaching Profession</w:t>
      </w:r>
      <w:r w:rsidRPr="007B5316">
        <w:rPr>
          <w:rFonts w:cs="Arial"/>
          <w:sz w:val="24"/>
          <w:szCs w:val="24"/>
        </w:rPr>
        <w:t>, Maynooth: Teaching Council</w:t>
      </w:r>
    </w:p>
    <w:sectPr w:rsidR="00DD2118" w:rsidRPr="007B53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61F3" w14:textId="77777777" w:rsidR="00EB4FAA" w:rsidRDefault="00EB4FAA" w:rsidP="0084145C">
      <w:pPr>
        <w:spacing w:after="0" w:line="240" w:lineRule="auto"/>
      </w:pPr>
      <w:r>
        <w:separator/>
      </w:r>
    </w:p>
  </w:endnote>
  <w:endnote w:type="continuationSeparator" w:id="0">
    <w:p w14:paraId="44892B8F" w14:textId="77777777" w:rsidR="00EB4FAA" w:rsidRDefault="00EB4FAA"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655B4902" w:rsidR="00850121" w:rsidRDefault="00850121">
        <w:pPr>
          <w:pStyle w:val="Footer"/>
          <w:jc w:val="right"/>
        </w:pPr>
        <w:r>
          <w:fldChar w:fldCharType="begin"/>
        </w:r>
        <w:r>
          <w:instrText xml:space="preserve"> PAGE   \* MERGEFORMAT </w:instrText>
        </w:r>
        <w:r>
          <w:fldChar w:fldCharType="separate"/>
        </w:r>
        <w:r w:rsidR="005B6EFF">
          <w:rPr>
            <w:noProof/>
          </w:rPr>
          <w:t>15</w:t>
        </w:r>
        <w:r>
          <w:rPr>
            <w:noProof/>
          </w:rPr>
          <w:fldChar w:fldCharType="end"/>
        </w:r>
      </w:p>
    </w:sdtContent>
  </w:sdt>
  <w:p w14:paraId="06582505" w14:textId="77777777" w:rsidR="00850121" w:rsidRDefault="0085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E55B" w14:textId="77777777" w:rsidR="00EB4FAA" w:rsidRDefault="00EB4FAA" w:rsidP="0084145C">
      <w:pPr>
        <w:spacing w:after="0" w:line="240" w:lineRule="auto"/>
      </w:pPr>
      <w:r>
        <w:separator/>
      </w:r>
    </w:p>
  </w:footnote>
  <w:footnote w:type="continuationSeparator" w:id="0">
    <w:p w14:paraId="4BAD3509" w14:textId="77777777" w:rsidR="00EB4FAA" w:rsidRDefault="00EB4FAA"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352FD1"/>
    <w:multiLevelType w:val="hybridMultilevel"/>
    <w:tmpl w:val="424E0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DB3CCE"/>
    <w:multiLevelType w:val="multilevel"/>
    <w:tmpl w:val="E83E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72DAF"/>
    <w:multiLevelType w:val="hybridMultilevel"/>
    <w:tmpl w:val="6AE68806"/>
    <w:lvl w:ilvl="0" w:tplc="D396B7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770691"/>
    <w:multiLevelType w:val="multilevel"/>
    <w:tmpl w:val="5294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8153B"/>
    <w:multiLevelType w:val="hybridMultilevel"/>
    <w:tmpl w:val="6C0EC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E19263"/>
    <w:multiLevelType w:val="hybridMultilevel"/>
    <w:tmpl w:val="FFE088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7B59EB"/>
    <w:multiLevelType w:val="hybridMultilevel"/>
    <w:tmpl w:val="95821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3E3F94"/>
    <w:multiLevelType w:val="hybridMultilevel"/>
    <w:tmpl w:val="0D34C6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8D00F3"/>
    <w:multiLevelType w:val="hybridMultilevel"/>
    <w:tmpl w:val="426C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21"/>
  </w:num>
  <w:num w:numId="5">
    <w:abstractNumId w:val="17"/>
  </w:num>
  <w:num w:numId="6">
    <w:abstractNumId w:val="1"/>
  </w:num>
  <w:num w:numId="7">
    <w:abstractNumId w:val="8"/>
  </w:num>
  <w:num w:numId="8">
    <w:abstractNumId w:val="16"/>
  </w:num>
  <w:num w:numId="9">
    <w:abstractNumId w:val="13"/>
  </w:num>
  <w:num w:numId="10">
    <w:abstractNumId w:val="23"/>
  </w:num>
  <w:num w:numId="11">
    <w:abstractNumId w:val="15"/>
  </w:num>
  <w:num w:numId="12">
    <w:abstractNumId w:val="0"/>
  </w:num>
  <w:num w:numId="13">
    <w:abstractNumId w:val="19"/>
  </w:num>
  <w:num w:numId="14">
    <w:abstractNumId w:val="4"/>
  </w:num>
  <w:num w:numId="15">
    <w:abstractNumId w:val="2"/>
  </w:num>
  <w:num w:numId="16">
    <w:abstractNumId w:val="22"/>
  </w:num>
  <w:num w:numId="17">
    <w:abstractNumId w:val="14"/>
  </w:num>
  <w:num w:numId="18">
    <w:abstractNumId w:val="7"/>
  </w:num>
  <w:num w:numId="19">
    <w:abstractNumId w:val="5"/>
  </w:num>
  <w:num w:numId="20">
    <w:abstractNumId w:val="18"/>
  </w:num>
  <w:num w:numId="21">
    <w:abstractNumId w:val="6"/>
  </w:num>
  <w:num w:numId="22">
    <w:abstractNumId w:val="11"/>
  </w:num>
  <w:num w:numId="23">
    <w:abstractNumId w:val="2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06"/>
    <w:rsid w:val="00017F05"/>
    <w:rsid w:val="00020DB4"/>
    <w:rsid w:val="00021C7B"/>
    <w:rsid w:val="00023BC3"/>
    <w:rsid w:val="00027F0A"/>
    <w:rsid w:val="00030807"/>
    <w:rsid w:val="000478ED"/>
    <w:rsid w:val="00050223"/>
    <w:rsid w:val="000541F8"/>
    <w:rsid w:val="00072A73"/>
    <w:rsid w:val="000776DA"/>
    <w:rsid w:val="000958AD"/>
    <w:rsid w:val="000A32E3"/>
    <w:rsid w:val="000A6F33"/>
    <w:rsid w:val="000B120C"/>
    <w:rsid w:val="000B6D1B"/>
    <w:rsid w:val="000C09F6"/>
    <w:rsid w:val="000C2063"/>
    <w:rsid w:val="000D1B84"/>
    <w:rsid w:val="000D78D5"/>
    <w:rsid w:val="000E22A7"/>
    <w:rsid w:val="000E49FC"/>
    <w:rsid w:val="000F112B"/>
    <w:rsid w:val="000F3170"/>
    <w:rsid w:val="000F52B2"/>
    <w:rsid w:val="001036F9"/>
    <w:rsid w:val="0010428C"/>
    <w:rsid w:val="00123F17"/>
    <w:rsid w:val="0013023F"/>
    <w:rsid w:val="001456A9"/>
    <w:rsid w:val="00146111"/>
    <w:rsid w:val="00146738"/>
    <w:rsid w:val="001522ED"/>
    <w:rsid w:val="00167086"/>
    <w:rsid w:val="001674FA"/>
    <w:rsid w:val="0018717F"/>
    <w:rsid w:val="00190B56"/>
    <w:rsid w:val="00190EF9"/>
    <w:rsid w:val="00192003"/>
    <w:rsid w:val="0019362F"/>
    <w:rsid w:val="00194340"/>
    <w:rsid w:val="00197292"/>
    <w:rsid w:val="001A0ED8"/>
    <w:rsid w:val="001A568E"/>
    <w:rsid w:val="001A6DAB"/>
    <w:rsid w:val="001B02CC"/>
    <w:rsid w:val="001C40D8"/>
    <w:rsid w:val="001C4AAE"/>
    <w:rsid w:val="001D412D"/>
    <w:rsid w:val="001D54F1"/>
    <w:rsid w:val="001F538B"/>
    <w:rsid w:val="001F67A6"/>
    <w:rsid w:val="00225FFB"/>
    <w:rsid w:val="00230828"/>
    <w:rsid w:val="00231D02"/>
    <w:rsid w:val="002441BD"/>
    <w:rsid w:val="00244472"/>
    <w:rsid w:val="0024520B"/>
    <w:rsid w:val="00246EE2"/>
    <w:rsid w:val="00251BA4"/>
    <w:rsid w:val="00261757"/>
    <w:rsid w:val="00261D19"/>
    <w:rsid w:val="00264A89"/>
    <w:rsid w:val="002653AF"/>
    <w:rsid w:val="002672FF"/>
    <w:rsid w:val="0027542B"/>
    <w:rsid w:val="0027644F"/>
    <w:rsid w:val="00280F55"/>
    <w:rsid w:val="00282CA3"/>
    <w:rsid w:val="00290384"/>
    <w:rsid w:val="00293524"/>
    <w:rsid w:val="00296F39"/>
    <w:rsid w:val="002A4C09"/>
    <w:rsid w:val="002A569F"/>
    <w:rsid w:val="002B16C3"/>
    <w:rsid w:val="002B2B58"/>
    <w:rsid w:val="002B3562"/>
    <w:rsid w:val="002B50B8"/>
    <w:rsid w:val="002B7C4F"/>
    <w:rsid w:val="002D1C90"/>
    <w:rsid w:val="002D6B85"/>
    <w:rsid w:val="002E13B8"/>
    <w:rsid w:val="002E490F"/>
    <w:rsid w:val="002E553B"/>
    <w:rsid w:val="002F2AD1"/>
    <w:rsid w:val="00307FF5"/>
    <w:rsid w:val="00311F72"/>
    <w:rsid w:val="00313B2E"/>
    <w:rsid w:val="0031492A"/>
    <w:rsid w:val="00324B70"/>
    <w:rsid w:val="00342A57"/>
    <w:rsid w:val="003500DD"/>
    <w:rsid w:val="003505F9"/>
    <w:rsid w:val="00366017"/>
    <w:rsid w:val="003662F4"/>
    <w:rsid w:val="003662FD"/>
    <w:rsid w:val="00366E5C"/>
    <w:rsid w:val="00367268"/>
    <w:rsid w:val="00372A96"/>
    <w:rsid w:val="00373B48"/>
    <w:rsid w:val="00377B55"/>
    <w:rsid w:val="00384E4F"/>
    <w:rsid w:val="00390C85"/>
    <w:rsid w:val="00393415"/>
    <w:rsid w:val="003A3A98"/>
    <w:rsid w:val="003A3C5D"/>
    <w:rsid w:val="003A69DE"/>
    <w:rsid w:val="003B07B6"/>
    <w:rsid w:val="003C1482"/>
    <w:rsid w:val="003C18DB"/>
    <w:rsid w:val="003C2B51"/>
    <w:rsid w:val="003C5798"/>
    <w:rsid w:val="003C7AE0"/>
    <w:rsid w:val="003D29AE"/>
    <w:rsid w:val="003D4A25"/>
    <w:rsid w:val="003D570A"/>
    <w:rsid w:val="003E72AD"/>
    <w:rsid w:val="003F0DF3"/>
    <w:rsid w:val="003F14EB"/>
    <w:rsid w:val="00406327"/>
    <w:rsid w:val="0041104C"/>
    <w:rsid w:val="00415227"/>
    <w:rsid w:val="0042135E"/>
    <w:rsid w:val="004304DC"/>
    <w:rsid w:val="004341CF"/>
    <w:rsid w:val="0044191D"/>
    <w:rsid w:val="00452512"/>
    <w:rsid w:val="00453BBB"/>
    <w:rsid w:val="004677D3"/>
    <w:rsid w:val="00472ABE"/>
    <w:rsid w:val="004736C8"/>
    <w:rsid w:val="00475683"/>
    <w:rsid w:val="00487B33"/>
    <w:rsid w:val="004900D4"/>
    <w:rsid w:val="004965AF"/>
    <w:rsid w:val="004A3AAE"/>
    <w:rsid w:val="004B2784"/>
    <w:rsid w:val="004B3052"/>
    <w:rsid w:val="004C2737"/>
    <w:rsid w:val="004C28C8"/>
    <w:rsid w:val="004D7897"/>
    <w:rsid w:val="004E491E"/>
    <w:rsid w:val="004F1A3F"/>
    <w:rsid w:val="004F4FDD"/>
    <w:rsid w:val="00506CEF"/>
    <w:rsid w:val="00511876"/>
    <w:rsid w:val="005160BD"/>
    <w:rsid w:val="00535981"/>
    <w:rsid w:val="005405CD"/>
    <w:rsid w:val="00554298"/>
    <w:rsid w:val="0055506C"/>
    <w:rsid w:val="00560B54"/>
    <w:rsid w:val="00571CF8"/>
    <w:rsid w:val="00577038"/>
    <w:rsid w:val="00581260"/>
    <w:rsid w:val="00584363"/>
    <w:rsid w:val="00586FD1"/>
    <w:rsid w:val="00592A08"/>
    <w:rsid w:val="005A57C0"/>
    <w:rsid w:val="005B6EFF"/>
    <w:rsid w:val="005C356F"/>
    <w:rsid w:val="005C6CA4"/>
    <w:rsid w:val="005D130F"/>
    <w:rsid w:val="005E3702"/>
    <w:rsid w:val="005F1A07"/>
    <w:rsid w:val="006073AF"/>
    <w:rsid w:val="0061555D"/>
    <w:rsid w:val="006423E0"/>
    <w:rsid w:val="00647F93"/>
    <w:rsid w:val="006513EF"/>
    <w:rsid w:val="006543E9"/>
    <w:rsid w:val="0068149A"/>
    <w:rsid w:val="00693C7E"/>
    <w:rsid w:val="00695428"/>
    <w:rsid w:val="0069772B"/>
    <w:rsid w:val="006A3148"/>
    <w:rsid w:val="006B2416"/>
    <w:rsid w:val="006C2BF8"/>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781"/>
    <w:rsid w:val="00784D27"/>
    <w:rsid w:val="007941B9"/>
    <w:rsid w:val="00795F12"/>
    <w:rsid w:val="007A5F18"/>
    <w:rsid w:val="007B1329"/>
    <w:rsid w:val="007B4766"/>
    <w:rsid w:val="007B5316"/>
    <w:rsid w:val="007C6EA7"/>
    <w:rsid w:val="007D5302"/>
    <w:rsid w:val="007D59D1"/>
    <w:rsid w:val="007D615C"/>
    <w:rsid w:val="007D7D5B"/>
    <w:rsid w:val="007E025D"/>
    <w:rsid w:val="007E5BC8"/>
    <w:rsid w:val="00803E38"/>
    <w:rsid w:val="00810E55"/>
    <w:rsid w:val="00811CD5"/>
    <w:rsid w:val="00826878"/>
    <w:rsid w:val="00826C52"/>
    <w:rsid w:val="00836D4D"/>
    <w:rsid w:val="0084145C"/>
    <w:rsid w:val="00844B02"/>
    <w:rsid w:val="00850121"/>
    <w:rsid w:val="008508B8"/>
    <w:rsid w:val="008516BA"/>
    <w:rsid w:val="00852D95"/>
    <w:rsid w:val="00855607"/>
    <w:rsid w:val="00861287"/>
    <w:rsid w:val="00866A05"/>
    <w:rsid w:val="0086770F"/>
    <w:rsid w:val="00870E5E"/>
    <w:rsid w:val="008749A9"/>
    <w:rsid w:val="00874AAB"/>
    <w:rsid w:val="00896153"/>
    <w:rsid w:val="008C0CCB"/>
    <w:rsid w:val="008C2074"/>
    <w:rsid w:val="008D2348"/>
    <w:rsid w:val="008D25CF"/>
    <w:rsid w:val="008D2C23"/>
    <w:rsid w:val="008E31BF"/>
    <w:rsid w:val="008E4E8C"/>
    <w:rsid w:val="008F04C0"/>
    <w:rsid w:val="008F05C7"/>
    <w:rsid w:val="008F3896"/>
    <w:rsid w:val="008F3ABC"/>
    <w:rsid w:val="008F455B"/>
    <w:rsid w:val="0090239F"/>
    <w:rsid w:val="00911BE1"/>
    <w:rsid w:val="00912C76"/>
    <w:rsid w:val="00915261"/>
    <w:rsid w:val="00916CAD"/>
    <w:rsid w:val="009244B3"/>
    <w:rsid w:val="00926098"/>
    <w:rsid w:val="0093208E"/>
    <w:rsid w:val="00933273"/>
    <w:rsid w:val="00935248"/>
    <w:rsid w:val="00944E78"/>
    <w:rsid w:val="00945749"/>
    <w:rsid w:val="00947CD3"/>
    <w:rsid w:val="00957A92"/>
    <w:rsid w:val="009636DC"/>
    <w:rsid w:val="00963D08"/>
    <w:rsid w:val="00964FCE"/>
    <w:rsid w:val="00965F1A"/>
    <w:rsid w:val="0096604B"/>
    <w:rsid w:val="00970670"/>
    <w:rsid w:val="00980209"/>
    <w:rsid w:val="009833B2"/>
    <w:rsid w:val="00986C73"/>
    <w:rsid w:val="00990B58"/>
    <w:rsid w:val="009A2EA4"/>
    <w:rsid w:val="009B11C9"/>
    <w:rsid w:val="009B656D"/>
    <w:rsid w:val="009C68AA"/>
    <w:rsid w:val="009C794E"/>
    <w:rsid w:val="009D026D"/>
    <w:rsid w:val="009D70E7"/>
    <w:rsid w:val="009E11A6"/>
    <w:rsid w:val="009E2540"/>
    <w:rsid w:val="009E3116"/>
    <w:rsid w:val="009E3FA1"/>
    <w:rsid w:val="009F2DB6"/>
    <w:rsid w:val="009F3034"/>
    <w:rsid w:val="00A1084A"/>
    <w:rsid w:val="00A12494"/>
    <w:rsid w:val="00A12800"/>
    <w:rsid w:val="00A1302A"/>
    <w:rsid w:val="00A175A3"/>
    <w:rsid w:val="00A21BD2"/>
    <w:rsid w:val="00A23190"/>
    <w:rsid w:val="00A43DEB"/>
    <w:rsid w:val="00A44E41"/>
    <w:rsid w:val="00A45A22"/>
    <w:rsid w:val="00A54949"/>
    <w:rsid w:val="00A560A4"/>
    <w:rsid w:val="00A60D03"/>
    <w:rsid w:val="00A61C6E"/>
    <w:rsid w:val="00A61CEE"/>
    <w:rsid w:val="00A62069"/>
    <w:rsid w:val="00A81D53"/>
    <w:rsid w:val="00A848C4"/>
    <w:rsid w:val="00A909F2"/>
    <w:rsid w:val="00A9600D"/>
    <w:rsid w:val="00AA1F7B"/>
    <w:rsid w:val="00AA4D12"/>
    <w:rsid w:val="00AB30BB"/>
    <w:rsid w:val="00AB3990"/>
    <w:rsid w:val="00AB4A4D"/>
    <w:rsid w:val="00AC0E7E"/>
    <w:rsid w:val="00AC27FC"/>
    <w:rsid w:val="00AC32F0"/>
    <w:rsid w:val="00AC6A25"/>
    <w:rsid w:val="00AC6FC2"/>
    <w:rsid w:val="00AD143E"/>
    <w:rsid w:val="00AD5C80"/>
    <w:rsid w:val="00AD7A53"/>
    <w:rsid w:val="00AD7D90"/>
    <w:rsid w:val="00AE436E"/>
    <w:rsid w:val="00AE5DDC"/>
    <w:rsid w:val="00AE6946"/>
    <w:rsid w:val="00AE7560"/>
    <w:rsid w:val="00AF2DE2"/>
    <w:rsid w:val="00AF31A1"/>
    <w:rsid w:val="00B0011F"/>
    <w:rsid w:val="00B01995"/>
    <w:rsid w:val="00B040F2"/>
    <w:rsid w:val="00B15C62"/>
    <w:rsid w:val="00B253DD"/>
    <w:rsid w:val="00B27161"/>
    <w:rsid w:val="00B42153"/>
    <w:rsid w:val="00B45D77"/>
    <w:rsid w:val="00B50382"/>
    <w:rsid w:val="00B64AE2"/>
    <w:rsid w:val="00B76884"/>
    <w:rsid w:val="00B8749F"/>
    <w:rsid w:val="00BA3CEF"/>
    <w:rsid w:val="00BA55C0"/>
    <w:rsid w:val="00BA7E6C"/>
    <w:rsid w:val="00BB4DF2"/>
    <w:rsid w:val="00BC1F05"/>
    <w:rsid w:val="00BD0FAF"/>
    <w:rsid w:val="00BD16B5"/>
    <w:rsid w:val="00BD3F30"/>
    <w:rsid w:val="00BE62B4"/>
    <w:rsid w:val="00BF7DBD"/>
    <w:rsid w:val="00C001EE"/>
    <w:rsid w:val="00C04963"/>
    <w:rsid w:val="00C06C58"/>
    <w:rsid w:val="00C06D62"/>
    <w:rsid w:val="00C100C7"/>
    <w:rsid w:val="00C100F8"/>
    <w:rsid w:val="00C11F35"/>
    <w:rsid w:val="00C20F3D"/>
    <w:rsid w:val="00C31378"/>
    <w:rsid w:val="00C33495"/>
    <w:rsid w:val="00C3579A"/>
    <w:rsid w:val="00C41C84"/>
    <w:rsid w:val="00C51233"/>
    <w:rsid w:val="00C52657"/>
    <w:rsid w:val="00C663B6"/>
    <w:rsid w:val="00C73038"/>
    <w:rsid w:val="00C75B3A"/>
    <w:rsid w:val="00C82359"/>
    <w:rsid w:val="00C866CB"/>
    <w:rsid w:val="00C8791A"/>
    <w:rsid w:val="00C87A41"/>
    <w:rsid w:val="00C90723"/>
    <w:rsid w:val="00CA5E8A"/>
    <w:rsid w:val="00CA6AD9"/>
    <w:rsid w:val="00CA7DDA"/>
    <w:rsid w:val="00CB06D8"/>
    <w:rsid w:val="00CB5799"/>
    <w:rsid w:val="00CC018B"/>
    <w:rsid w:val="00CC447F"/>
    <w:rsid w:val="00CC708E"/>
    <w:rsid w:val="00CD2806"/>
    <w:rsid w:val="00CD4329"/>
    <w:rsid w:val="00CD6054"/>
    <w:rsid w:val="00CE789D"/>
    <w:rsid w:val="00CF3F03"/>
    <w:rsid w:val="00D0111E"/>
    <w:rsid w:val="00D06190"/>
    <w:rsid w:val="00D073DC"/>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76AC0"/>
    <w:rsid w:val="00D85EDF"/>
    <w:rsid w:val="00D945AF"/>
    <w:rsid w:val="00D94643"/>
    <w:rsid w:val="00DA146F"/>
    <w:rsid w:val="00DA2A33"/>
    <w:rsid w:val="00DA326F"/>
    <w:rsid w:val="00DC168B"/>
    <w:rsid w:val="00DC5644"/>
    <w:rsid w:val="00DD0B05"/>
    <w:rsid w:val="00DD1492"/>
    <w:rsid w:val="00DD2118"/>
    <w:rsid w:val="00DD4040"/>
    <w:rsid w:val="00DD6132"/>
    <w:rsid w:val="00DD7D59"/>
    <w:rsid w:val="00DD7D7F"/>
    <w:rsid w:val="00DE0D9A"/>
    <w:rsid w:val="00DE3F34"/>
    <w:rsid w:val="00DE7DB5"/>
    <w:rsid w:val="00DF3B6B"/>
    <w:rsid w:val="00E01C13"/>
    <w:rsid w:val="00E06536"/>
    <w:rsid w:val="00E12274"/>
    <w:rsid w:val="00E12385"/>
    <w:rsid w:val="00E13D21"/>
    <w:rsid w:val="00E227B8"/>
    <w:rsid w:val="00E26B92"/>
    <w:rsid w:val="00E35D62"/>
    <w:rsid w:val="00E46AC7"/>
    <w:rsid w:val="00E512CE"/>
    <w:rsid w:val="00E519EA"/>
    <w:rsid w:val="00E56FE6"/>
    <w:rsid w:val="00E63D39"/>
    <w:rsid w:val="00E669D9"/>
    <w:rsid w:val="00E70C0A"/>
    <w:rsid w:val="00E73014"/>
    <w:rsid w:val="00E766EB"/>
    <w:rsid w:val="00E7790C"/>
    <w:rsid w:val="00E77AD9"/>
    <w:rsid w:val="00E820BE"/>
    <w:rsid w:val="00E854A1"/>
    <w:rsid w:val="00E9155C"/>
    <w:rsid w:val="00E952F4"/>
    <w:rsid w:val="00E967E3"/>
    <w:rsid w:val="00EB4FAA"/>
    <w:rsid w:val="00EC30FD"/>
    <w:rsid w:val="00EC507E"/>
    <w:rsid w:val="00ED10FA"/>
    <w:rsid w:val="00ED64B7"/>
    <w:rsid w:val="00EE42E6"/>
    <w:rsid w:val="00EF0CD1"/>
    <w:rsid w:val="00F0103A"/>
    <w:rsid w:val="00F0200D"/>
    <w:rsid w:val="00F07FEE"/>
    <w:rsid w:val="00F2045C"/>
    <w:rsid w:val="00F20C60"/>
    <w:rsid w:val="00F55F4A"/>
    <w:rsid w:val="00F56959"/>
    <w:rsid w:val="00F71F8F"/>
    <w:rsid w:val="00F737E2"/>
    <w:rsid w:val="00F73D17"/>
    <w:rsid w:val="00F8112D"/>
    <w:rsid w:val="00F91542"/>
    <w:rsid w:val="00F94EBC"/>
    <w:rsid w:val="00FA325A"/>
    <w:rsid w:val="00FA5E45"/>
    <w:rsid w:val="00FA5EF9"/>
    <w:rsid w:val="00FA6619"/>
    <w:rsid w:val="00FB37BF"/>
    <w:rsid w:val="00FB3FD8"/>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265041787">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304039914">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 w:id="21033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2018-07-25T15:26:00Z</cp:lastPrinted>
  <dcterms:created xsi:type="dcterms:W3CDTF">2018-08-30T09:26:00Z</dcterms:created>
  <dcterms:modified xsi:type="dcterms:W3CDTF">2018-08-30T09:26:00Z</dcterms:modified>
</cp:coreProperties>
</file>