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0927B" w14:textId="77777777" w:rsidR="00BD16B5" w:rsidRPr="00027F0A" w:rsidRDefault="00190EF9" w:rsidP="00027F0A">
      <w:pPr>
        <w:spacing w:after="0" w:line="360" w:lineRule="auto"/>
        <w:jc w:val="center"/>
        <w:rPr>
          <w:b/>
        </w:rPr>
      </w:pPr>
      <w:r w:rsidRPr="00027F0A">
        <w:rPr>
          <w:noProof/>
          <w:lang w:eastAsia="en-IE"/>
        </w:rPr>
        <w:drawing>
          <wp:inline distT="0" distB="0" distL="0" distR="0" wp14:anchorId="1136886B" wp14:editId="741C288A">
            <wp:extent cx="1857375" cy="188469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8656" cy="1936725"/>
                    </a:xfrm>
                    <a:prstGeom prst="rect">
                      <a:avLst/>
                    </a:prstGeom>
                  </pic:spPr>
                </pic:pic>
              </a:graphicData>
            </a:graphic>
          </wp:inline>
        </w:drawing>
      </w:r>
    </w:p>
    <w:p w14:paraId="375030BB" w14:textId="77777777" w:rsidR="00E70C0A" w:rsidRPr="00133427" w:rsidRDefault="00A12494" w:rsidP="00133427">
      <w:pPr>
        <w:spacing w:after="0" w:line="360" w:lineRule="auto"/>
        <w:jc w:val="center"/>
        <w:rPr>
          <w:b/>
          <w:sz w:val="24"/>
          <w:szCs w:val="24"/>
        </w:rPr>
      </w:pPr>
      <w:r w:rsidRPr="00133427">
        <w:rPr>
          <w:b/>
          <w:sz w:val="24"/>
          <w:szCs w:val="24"/>
        </w:rPr>
        <w:t>Teachers’ Union of Ireland</w:t>
      </w:r>
    </w:p>
    <w:p w14:paraId="7ABFB964" w14:textId="4E0123E8" w:rsidR="00A12494" w:rsidRPr="00133427" w:rsidRDefault="00B01995" w:rsidP="00133427">
      <w:pPr>
        <w:spacing w:after="0" w:line="360" w:lineRule="auto"/>
        <w:jc w:val="center"/>
        <w:rPr>
          <w:b/>
          <w:sz w:val="24"/>
          <w:szCs w:val="24"/>
        </w:rPr>
      </w:pPr>
      <w:r w:rsidRPr="00133427">
        <w:rPr>
          <w:b/>
          <w:sz w:val="24"/>
          <w:szCs w:val="24"/>
        </w:rPr>
        <w:t>Submission to Joint Oireachtas Committee on Education and Skills</w:t>
      </w:r>
      <w:r w:rsidR="0031492A" w:rsidRPr="00133427">
        <w:rPr>
          <w:b/>
          <w:sz w:val="24"/>
          <w:szCs w:val="24"/>
        </w:rPr>
        <w:t xml:space="preserve"> </w:t>
      </w:r>
      <w:r w:rsidRPr="00133427">
        <w:rPr>
          <w:b/>
          <w:sz w:val="24"/>
          <w:szCs w:val="24"/>
        </w:rPr>
        <w:t xml:space="preserve">regarding </w:t>
      </w:r>
      <w:r w:rsidR="00A21BD2" w:rsidRPr="00133427">
        <w:rPr>
          <w:rFonts w:eastAsia="Calibri" w:cs="Tahoma"/>
          <w:sz w:val="24"/>
          <w:szCs w:val="24"/>
        </w:rPr>
        <w:t>‘</w:t>
      </w:r>
      <w:r w:rsidR="00A55235" w:rsidRPr="00133427">
        <w:rPr>
          <w:rFonts w:eastAsia="Calibri" w:cs="Tahoma"/>
          <w:b/>
          <w:sz w:val="24"/>
          <w:szCs w:val="24"/>
        </w:rPr>
        <w:t>issues relating to recruitment and retention of teachers</w:t>
      </w:r>
      <w:r w:rsidR="00A21BD2" w:rsidRPr="00133427">
        <w:rPr>
          <w:rFonts w:eastAsia="Calibri" w:cs="Tahoma"/>
          <w:b/>
          <w:sz w:val="24"/>
          <w:szCs w:val="24"/>
        </w:rPr>
        <w:t>’</w:t>
      </w:r>
      <w:r w:rsidR="00A21BD2" w:rsidRPr="00133427">
        <w:rPr>
          <w:b/>
          <w:sz w:val="24"/>
          <w:szCs w:val="24"/>
        </w:rPr>
        <w:t xml:space="preserve"> </w:t>
      </w:r>
      <w:r w:rsidR="00A12494" w:rsidRPr="00133427">
        <w:rPr>
          <w:b/>
          <w:sz w:val="24"/>
          <w:szCs w:val="24"/>
        </w:rPr>
        <w:t>(</w:t>
      </w:r>
      <w:r w:rsidR="00A55235" w:rsidRPr="00133427">
        <w:rPr>
          <w:b/>
          <w:sz w:val="24"/>
          <w:szCs w:val="24"/>
        </w:rPr>
        <w:t>April 24</w:t>
      </w:r>
      <w:r w:rsidR="00A55235" w:rsidRPr="00133427">
        <w:rPr>
          <w:b/>
          <w:sz w:val="24"/>
          <w:szCs w:val="24"/>
          <w:vertAlign w:val="superscript"/>
        </w:rPr>
        <w:t>th</w:t>
      </w:r>
      <w:r w:rsidR="00133427">
        <w:rPr>
          <w:b/>
          <w:sz w:val="24"/>
          <w:szCs w:val="24"/>
        </w:rPr>
        <w:t xml:space="preserve">, </w:t>
      </w:r>
      <w:r w:rsidR="00A21BD2" w:rsidRPr="00133427">
        <w:rPr>
          <w:b/>
          <w:sz w:val="24"/>
          <w:szCs w:val="24"/>
        </w:rPr>
        <w:t>2018</w:t>
      </w:r>
      <w:r w:rsidR="00A12494" w:rsidRPr="00133427">
        <w:rPr>
          <w:b/>
          <w:sz w:val="24"/>
          <w:szCs w:val="24"/>
        </w:rPr>
        <w:t>)</w:t>
      </w:r>
    </w:p>
    <w:p w14:paraId="28383CC5" w14:textId="77777777" w:rsidR="007A5F18" w:rsidRPr="00133427" w:rsidRDefault="007A5F18" w:rsidP="00133427">
      <w:pPr>
        <w:spacing w:after="0" w:line="360" w:lineRule="auto"/>
        <w:jc w:val="center"/>
        <w:rPr>
          <w:b/>
          <w:sz w:val="24"/>
          <w:szCs w:val="24"/>
        </w:rPr>
      </w:pPr>
    </w:p>
    <w:p w14:paraId="10802CC2" w14:textId="73494CB1" w:rsidR="00535981" w:rsidRPr="00133427" w:rsidRDefault="00AC32F0" w:rsidP="00133427">
      <w:pPr>
        <w:spacing w:after="0" w:line="360" w:lineRule="auto"/>
        <w:rPr>
          <w:b/>
          <w:sz w:val="24"/>
          <w:szCs w:val="24"/>
          <w:u w:val="single"/>
        </w:rPr>
      </w:pPr>
      <w:r w:rsidRPr="00133427">
        <w:rPr>
          <w:b/>
          <w:sz w:val="24"/>
          <w:szCs w:val="24"/>
          <w:u w:val="single"/>
        </w:rPr>
        <w:t>Introduction</w:t>
      </w:r>
    </w:p>
    <w:p w14:paraId="5B449E7B" w14:textId="25CD7DD7" w:rsidR="00C12CFA" w:rsidRPr="00133427" w:rsidRDefault="00C12CFA" w:rsidP="00133427">
      <w:pPr>
        <w:pStyle w:val="Heading1"/>
        <w:spacing w:before="0" w:line="360" w:lineRule="auto"/>
        <w:rPr>
          <w:rFonts w:asciiTheme="minorHAnsi" w:hAnsiTheme="minorHAnsi"/>
          <w:b w:val="0"/>
          <w:color w:val="auto"/>
          <w:sz w:val="24"/>
          <w:szCs w:val="24"/>
        </w:rPr>
      </w:pPr>
      <w:r w:rsidRPr="00133427">
        <w:rPr>
          <w:rFonts w:asciiTheme="minorHAnsi" w:hAnsiTheme="minorHAnsi"/>
          <w:b w:val="0"/>
          <w:color w:val="auto"/>
          <w:sz w:val="24"/>
          <w:szCs w:val="24"/>
        </w:rPr>
        <w:t xml:space="preserve">TUI represents teachers and lecturers (17,000+) employed by Education and Training Boards (ETBs), Community and Comprehensive (C&amp;C) schools, Voluntary Secondary schools and the Institutes of Technology. </w:t>
      </w:r>
      <w:bookmarkStart w:id="0" w:name="_GoBack"/>
      <w:bookmarkEnd w:id="0"/>
    </w:p>
    <w:p w14:paraId="7280AD2C" w14:textId="429E274B" w:rsidR="00C12CFA" w:rsidRPr="00133427" w:rsidRDefault="00C12CFA" w:rsidP="00133427">
      <w:pPr>
        <w:spacing w:after="0"/>
        <w:rPr>
          <w:sz w:val="24"/>
          <w:szCs w:val="24"/>
        </w:rPr>
      </w:pPr>
    </w:p>
    <w:p w14:paraId="1BB546BF" w14:textId="77777777" w:rsidR="00C12CFA" w:rsidRPr="00133427" w:rsidRDefault="00C12CFA" w:rsidP="00133427">
      <w:pPr>
        <w:spacing w:after="0" w:line="360" w:lineRule="auto"/>
        <w:rPr>
          <w:rFonts w:eastAsiaTheme="majorEastAsia" w:cstheme="majorBidi"/>
          <w:bCs/>
          <w:sz w:val="24"/>
          <w:szCs w:val="24"/>
        </w:rPr>
      </w:pPr>
      <w:r w:rsidRPr="00133427">
        <w:rPr>
          <w:sz w:val="24"/>
          <w:szCs w:val="24"/>
        </w:rPr>
        <w:t xml:space="preserve">The TUI would like to thank the committee for this opportunity to make a submission on </w:t>
      </w:r>
      <w:r w:rsidRPr="00133427">
        <w:rPr>
          <w:rFonts w:eastAsia="Calibri" w:cs="Tahoma"/>
          <w:sz w:val="24"/>
          <w:szCs w:val="24"/>
        </w:rPr>
        <w:t>‘</w:t>
      </w:r>
      <w:r w:rsidRPr="00133427">
        <w:rPr>
          <w:rFonts w:eastAsia="Calibri" w:cs="Tahoma"/>
          <w:b/>
          <w:sz w:val="24"/>
          <w:szCs w:val="24"/>
        </w:rPr>
        <w:t>issues relating to recruitment and retention of teachers’</w:t>
      </w:r>
      <w:r w:rsidRPr="00133427">
        <w:rPr>
          <w:sz w:val="24"/>
          <w:szCs w:val="24"/>
        </w:rPr>
        <w:t xml:space="preserve">.  </w:t>
      </w:r>
    </w:p>
    <w:p w14:paraId="48563E57" w14:textId="77777777" w:rsidR="00C12CFA" w:rsidRPr="00133427" w:rsidRDefault="00C12CFA" w:rsidP="00133427">
      <w:pPr>
        <w:spacing w:after="0"/>
        <w:rPr>
          <w:sz w:val="24"/>
          <w:szCs w:val="24"/>
        </w:rPr>
      </w:pPr>
    </w:p>
    <w:p w14:paraId="50BD100D" w14:textId="13589570" w:rsidR="00C12CFA" w:rsidRDefault="00C12CFA" w:rsidP="00133427">
      <w:pPr>
        <w:spacing w:after="0" w:line="360" w:lineRule="auto"/>
        <w:jc w:val="both"/>
        <w:rPr>
          <w:sz w:val="24"/>
          <w:szCs w:val="24"/>
        </w:rPr>
      </w:pPr>
      <w:r w:rsidRPr="00133427">
        <w:rPr>
          <w:sz w:val="24"/>
          <w:szCs w:val="24"/>
        </w:rPr>
        <w:t xml:space="preserve">Ireland has an internationally acknowledged, high-performing education system.  </w:t>
      </w:r>
      <w:r w:rsidR="002D21DA" w:rsidRPr="00133427">
        <w:rPr>
          <w:sz w:val="24"/>
          <w:szCs w:val="24"/>
        </w:rPr>
        <w:t>T</w:t>
      </w:r>
      <w:r w:rsidR="002D21DA" w:rsidRPr="00133427">
        <w:rPr>
          <w:rFonts w:eastAsiaTheme="majorEastAsia" w:cstheme="majorBidi"/>
          <w:bCs/>
          <w:sz w:val="24"/>
          <w:szCs w:val="24"/>
        </w:rPr>
        <w:t>he OECD (20</w:t>
      </w:r>
      <w:r w:rsidR="00133427" w:rsidRPr="00133427">
        <w:rPr>
          <w:rFonts w:eastAsiaTheme="majorEastAsia" w:cstheme="majorBidi"/>
          <w:bCs/>
          <w:sz w:val="24"/>
          <w:szCs w:val="24"/>
        </w:rPr>
        <w:t>1</w:t>
      </w:r>
      <w:r w:rsidR="002D21DA" w:rsidRPr="00133427">
        <w:rPr>
          <w:rFonts w:eastAsiaTheme="majorEastAsia" w:cstheme="majorBidi"/>
          <w:bCs/>
          <w:sz w:val="24"/>
          <w:szCs w:val="24"/>
        </w:rPr>
        <w:t>5) has made clear that an education system is only as good as its teachers.</w:t>
      </w:r>
      <w:r w:rsidR="002D21DA" w:rsidRPr="00133427">
        <w:rPr>
          <w:sz w:val="24"/>
          <w:szCs w:val="24"/>
        </w:rPr>
        <w:t xml:space="preserve"> </w:t>
      </w:r>
      <w:r w:rsidR="00133427">
        <w:rPr>
          <w:sz w:val="24"/>
          <w:szCs w:val="24"/>
        </w:rPr>
        <w:t xml:space="preserve"> </w:t>
      </w:r>
      <w:r w:rsidRPr="00133427">
        <w:rPr>
          <w:sz w:val="24"/>
          <w:szCs w:val="24"/>
        </w:rPr>
        <w:t xml:space="preserve">However, </w:t>
      </w:r>
      <w:r w:rsidR="002D21DA" w:rsidRPr="00133427">
        <w:rPr>
          <w:sz w:val="24"/>
          <w:szCs w:val="24"/>
        </w:rPr>
        <w:t>our education system is</w:t>
      </w:r>
      <w:r w:rsidRPr="00133427">
        <w:rPr>
          <w:sz w:val="24"/>
          <w:szCs w:val="24"/>
        </w:rPr>
        <w:t xml:space="preserve"> being undermined by a crisis in teacher recruitment and retention.  The crisis has been documented in separate research carried out by </w:t>
      </w:r>
      <w:r w:rsidR="002D21DA" w:rsidRPr="00133427">
        <w:rPr>
          <w:sz w:val="24"/>
          <w:szCs w:val="24"/>
        </w:rPr>
        <w:t xml:space="preserve">the TUI’s Principals and Deputy Principals’ Association, </w:t>
      </w:r>
      <w:r w:rsidRPr="00133427">
        <w:rPr>
          <w:sz w:val="24"/>
          <w:szCs w:val="24"/>
        </w:rPr>
        <w:t xml:space="preserve">a number of </w:t>
      </w:r>
      <w:r w:rsidR="002D21DA" w:rsidRPr="00133427">
        <w:rPr>
          <w:sz w:val="24"/>
          <w:szCs w:val="24"/>
        </w:rPr>
        <w:t xml:space="preserve">management bodies and national authorities and agencies -  the Post Graduate Applications Centre (PAC), the Association of Community and Comprehensive Schools (ACCS), the Joint Managerial Body (JMB) and Education and Training Boards Ireland (ETBI).  It has also been referenced on a number of occasions </w:t>
      </w:r>
      <w:r w:rsidR="00B53F02">
        <w:rPr>
          <w:sz w:val="24"/>
          <w:szCs w:val="24"/>
        </w:rPr>
        <w:t>b</w:t>
      </w:r>
      <w:r w:rsidR="002D21DA" w:rsidRPr="00133427">
        <w:rPr>
          <w:sz w:val="24"/>
          <w:szCs w:val="24"/>
        </w:rPr>
        <w:t>y the Minister for Education and Ski</w:t>
      </w:r>
      <w:r w:rsidR="00B53F02">
        <w:rPr>
          <w:sz w:val="24"/>
          <w:szCs w:val="24"/>
        </w:rPr>
        <w:t xml:space="preserve">lls and by the Teaching Council.  </w:t>
      </w:r>
      <w:r w:rsidR="002D21DA" w:rsidRPr="00133427">
        <w:rPr>
          <w:sz w:val="24"/>
          <w:szCs w:val="24"/>
        </w:rPr>
        <w:t>Unless addressed properly, t</w:t>
      </w:r>
      <w:r w:rsidRPr="00133427">
        <w:rPr>
          <w:sz w:val="24"/>
          <w:szCs w:val="24"/>
        </w:rPr>
        <w:t>he scale of the crisis will increase further in the coming years as the number of students in second-level rises by approximately seventy thousand by 2025.</w:t>
      </w:r>
    </w:p>
    <w:p w14:paraId="64B184ED" w14:textId="77777777" w:rsidR="00133427" w:rsidRPr="00133427" w:rsidRDefault="00133427" w:rsidP="00133427">
      <w:pPr>
        <w:spacing w:after="0" w:line="360" w:lineRule="auto"/>
        <w:jc w:val="both"/>
        <w:rPr>
          <w:sz w:val="24"/>
          <w:szCs w:val="24"/>
        </w:rPr>
      </w:pPr>
    </w:p>
    <w:p w14:paraId="6CA92C21" w14:textId="0A5DB5AF" w:rsidR="002D21DA" w:rsidRDefault="00C12CFA" w:rsidP="00133427">
      <w:pPr>
        <w:spacing w:after="0" w:line="360" w:lineRule="auto"/>
        <w:jc w:val="both"/>
        <w:rPr>
          <w:sz w:val="24"/>
          <w:szCs w:val="24"/>
        </w:rPr>
      </w:pPr>
      <w:r w:rsidRPr="00133427">
        <w:rPr>
          <w:sz w:val="24"/>
          <w:szCs w:val="24"/>
        </w:rPr>
        <w:t xml:space="preserve">The research clearly indicates that the crisis has emerged since discriminatory pay scales were introduced in 2011 and was exacerbated both by cessation of payment of qualifications allowances </w:t>
      </w:r>
      <w:r w:rsidRPr="00133427">
        <w:rPr>
          <w:sz w:val="24"/>
          <w:szCs w:val="24"/>
        </w:rPr>
        <w:lastRenderedPageBreak/>
        <w:t>in 2012 and the increase from one to two years in the duration of the post-primary teacher training qualification – the Professional Master of Education (PME) from 2013.  The single most important element of any viable solution to the crisis is the elimination of pay discrimination against new and recent entrants to the profession</w:t>
      </w:r>
      <w:r w:rsidR="002D21DA" w:rsidRPr="00133427">
        <w:rPr>
          <w:sz w:val="24"/>
          <w:szCs w:val="24"/>
        </w:rPr>
        <w:t>.  For post-primary teachers that involves:</w:t>
      </w:r>
    </w:p>
    <w:p w14:paraId="480FB039" w14:textId="77777777" w:rsidR="00B53F02" w:rsidRPr="00133427" w:rsidRDefault="00B53F02" w:rsidP="00133427">
      <w:pPr>
        <w:spacing w:after="0" w:line="360" w:lineRule="auto"/>
        <w:jc w:val="both"/>
        <w:rPr>
          <w:sz w:val="24"/>
          <w:szCs w:val="24"/>
        </w:rPr>
      </w:pPr>
    </w:p>
    <w:p w14:paraId="7D16A358" w14:textId="053F7732" w:rsidR="002D21DA" w:rsidRPr="00133427" w:rsidRDefault="002D21DA" w:rsidP="00133427">
      <w:pPr>
        <w:pStyle w:val="ListParagraph"/>
        <w:numPr>
          <w:ilvl w:val="0"/>
          <w:numId w:val="22"/>
        </w:numPr>
        <w:spacing w:after="0" w:line="360" w:lineRule="auto"/>
        <w:jc w:val="both"/>
        <w:rPr>
          <w:sz w:val="24"/>
          <w:szCs w:val="24"/>
        </w:rPr>
      </w:pPr>
      <w:r w:rsidRPr="00133427">
        <w:rPr>
          <w:sz w:val="24"/>
          <w:szCs w:val="24"/>
        </w:rPr>
        <w:t>Removal of the two additional points on the teachers’ salary scale</w:t>
      </w:r>
      <w:r w:rsidR="00B53F02">
        <w:rPr>
          <w:sz w:val="24"/>
          <w:szCs w:val="24"/>
        </w:rPr>
        <w:t xml:space="preserve"> for those who entered</w:t>
      </w:r>
      <w:r w:rsidR="00250E4A">
        <w:rPr>
          <w:sz w:val="24"/>
          <w:szCs w:val="24"/>
        </w:rPr>
        <w:t xml:space="preserve"> the profession</w:t>
      </w:r>
      <w:r w:rsidR="00B53F02">
        <w:rPr>
          <w:sz w:val="24"/>
          <w:szCs w:val="24"/>
        </w:rPr>
        <w:t xml:space="preserve"> on or after 1 January 2011</w:t>
      </w:r>
    </w:p>
    <w:p w14:paraId="7E3A9C48" w14:textId="263B8BB7" w:rsidR="002D21DA" w:rsidRPr="00133427" w:rsidRDefault="00B53F02" w:rsidP="00133427">
      <w:pPr>
        <w:pStyle w:val="ListParagraph"/>
        <w:numPr>
          <w:ilvl w:val="0"/>
          <w:numId w:val="22"/>
        </w:numPr>
        <w:spacing w:after="0" w:line="360" w:lineRule="auto"/>
        <w:jc w:val="both"/>
        <w:rPr>
          <w:sz w:val="24"/>
          <w:szCs w:val="24"/>
        </w:rPr>
      </w:pPr>
      <w:r>
        <w:rPr>
          <w:sz w:val="24"/>
          <w:szCs w:val="24"/>
        </w:rPr>
        <w:t>Restoration</w:t>
      </w:r>
      <w:r w:rsidR="002D21DA" w:rsidRPr="00133427">
        <w:rPr>
          <w:sz w:val="24"/>
          <w:szCs w:val="24"/>
        </w:rPr>
        <w:t xml:space="preserve"> of the teacher training qualification (HDip/PME Allowance) and </w:t>
      </w:r>
    </w:p>
    <w:p w14:paraId="7A7F4CB7" w14:textId="77777777" w:rsidR="002D21DA" w:rsidRPr="00133427" w:rsidRDefault="002D21DA" w:rsidP="00133427">
      <w:pPr>
        <w:pStyle w:val="ListParagraph"/>
        <w:numPr>
          <w:ilvl w:val="0"/>
          <w:numId w:val="22"/>
        </w:numPr>
        <w:spacing w:after="0" w:line="360" w:lineRule="auto"/>
        <w:jc w:val="both"/>
        <w:rPr>
          <w:sz w:val="24"/>
          <w:szCs w:val="24"/>
        </w:rPr>
      </w:pPr>
      <w:r w:rsidRPr="00133427">
        <w:rPr>
          <w:sz w:val="24"/>
          <w:szCs w:val="24"/>
        </w:rPr>
        <w:t>Reinstatement of incremental recognition for pre-service training</w:t>
      </w:r>
    </w:p>
    <w:p w14:paraId="6C8B3ABE" w14:textId="77777777" w:rsidR="00C12CFA" w:rsidRPr="00133427" w:rsidRDefault="00C12CFA" w:rsidP="00133427">
      <w:pPr>
        <w:spacing w:after="0" w:line="360" w:lineRule="auto"/>
        <w:jc w:val="both"/>
        <w:rPr>
          <w:sz w:val="24"/>
          <w:szCs w:val="24"/>
        </w:rPr>
      </w:pPr>
    </w:p>
    <w:p w14:paraId="34597EEB" w14:textId="77777777" w:rsidR="00C12CFA" w:rsidRPr="00133427" w:rsidRDefault="00C12CFA" w:rsidP="00133427">
      <w:pPr>
        <w:spacing w:after="0" w:line="360" w:lineRule="auto"/>
        <w:jc w:val="both"/>
        <w:rPr>
          <w:i/>
          <w:sz w:val="24"/>
          <w:szCs w:val="24"/>
        </w:rPr>
      </w:pPr>
      <w:r w:rsidRPr="00133427">
        <w:rPr>
          <w:sz w:val="24"/>
          <w:szCs w:val="24"/>
        </w:rPr>
        <w:t xml:space="preserve">In September 2016, there was explicit recognition that pay is at the heart of the problem, when the Teachers’ Union of Ireland (TUI), the Irish National Teachers’ Organisation (INTO), the </w:t>
      </w:r>
      <w:r w:rsidRPr="00133427">
        <w:rPr>
          <w:rFonts w:cstheme="minorHAnsi"/>
          <w:sz w:val="24"/>
          <w:szCs w:val="24"/>
        </w:rPr>
        <w:t>Department of Education and Skills</w:t>
      </w:r>
      <w:r w:rsidRPr="00133427">
        <w:rPr>
          <w:sz w:val="24"/>
          <w:szCs w:val="24"/>
        </w:rPr>
        <w:t xml:space="preserve"> (DES) and the Department of Public Expenditure and Reform (DPER) reached an Agreement to incorporate the value of the Honours Primary Degree allowance into the salary scale for teachers appointed since 2011 – one of the allowances that had been withdrawn in 2012.  This was recognised as an interim measure; part of an ongoing process towards pay equality.</w:t>
      </w:r>
    </w:p>
    <w:p w14:paraId="6866DF00" w14:textId="77777777" w:rsidR="00C12CFA" w:rsidRPr="00133427" w:rsidRDefault="00C12CFA" w:rsidP="00133427">
      <w:pPr>
        <w:spacing w:after="0" w:line="360" w:lineRule="auto"/>
        <w:jc w:val="both"/>
        <w:rPr>
          <w:sz w:val="24"/>
          <w:szCs w:val="24"/>
        </w:rPr>
      </w:pPr>
    </w:p>
    <w:p w14:paraId="4D85F6D7" w14:textId="25EA8BD5" w:rsidR="00C12CFA" w:rsidRPr="00133427" w:rsidRDefault="00C12CFA" w:rsidP="00133427">
      <w:pPr>
        <w:spacing w:after="0" w:line="360" w:lineRule="auto"/>
        <w:jc w:val="both"/>
        <w:rPr>
          <w:sz w:val="24"/>
          <w:szCs w:val="24"/>
        </w:rPr>
      </w:pPr>
      <w:r w:rsidRPr="00133427">
        <w:rPr>
          <w:sz w:val="24"/>
          <w:szCs w:val="24"/>
        </w:rPr>
        <w:t xml:space="preserve">The key points made in </w:t>
      </w:r>
      <w:r w:rsidR="002D21DA" w:rsidRPr="00133427">
        <w:rPr>
          <w:sz w:val="24"/>
          <w:szCs w:val="24"/>
        </w:rPr>
        <w:t>the TUI</w:t>
      </w:r>
      <w:r w:rsidRPr="00133427">
        <w:rPr>
          <w:sz w:val="24"/>
          <w:szCs w:val="24"/>
        </w:rPr>
        <w:t xml:space="preserve"> submission are that:</w:t>
      </w:r>
    </w:p>
    <w:p w14:paraId="275B68E7" w14:textId="77777777" w:rsidR="00C12CFA" w:rsidRPr="00133427" w:rsidRDefault="00C12CFA" w:rsidP="00133427">
      <w:pPr>
        <w:spacing w:after="0" w:line="360" w:lineRule="auto"/>
        <w:jc w:val="both"/>
        <w:rPr>
          <w:sz w:val="24"/>
          <w:szCs w:val="24"/>
        </w:rPr>
      </w:pPr>
    </w:p>
    <w:p w14:paraId="5C97BF23" w14:textId="6B8CC795" w:rsidR="002D21DA" w:rsidRPr="00133427" w:rsidRDefault="00C12CFA" w:rsidP="00133427">
      <w:pPr>
        <w:numPr>
          <w:ilvl w:val="0"/>
          <w:numId w:val="20"/>
        </w:numPr>
        <w:suppressAutoHyphens/>
        <w:autoSpaceDN w:val="0"/>
        <w:spacing w:after="0" w:line="360" w:lineRule="auto"/>
        <w:jc w:val="both"/>
        <w:textAlignment w:val="baseline"/>
        <w:rPr>
          <w:sz w:val="24"/>
          <w:szCs w:val="24"/>
        </w:rPr>
      </w:pPr>
      <w:r w:rsidRPr="00133427">
        <w:rPr>
          <w:sz w:val="24"/>
          <w:szCs w:val="24"/>
        </w:rPr>
        <w:t>the cuts to pay and conditions inflicted on new entrants in 2011 and exacerbated by further cuts in 2012, have had the effect of sharply reducing the attractiveness of teaching as a profession with the result that the number of applicants for initial teacher education has dropped dramatically</w:t>
      </w:r>
      <w:r w:rsidR="002D21DA" w:rsidRPr="00133427">
        <w:rPr>
          <w:sz w:val="24"/>
          <w:szCs w:val="24"/>
        </w:rPr>
        <w:t xml:space="preserve">.  The majority of applications for post-primary teaching are processed via PAC. Since 2011, there has been an alarming and unprecedented decline of 62% in applications.   The output of graduates from these programmes has also declined by 27%. </w:t>
      </w:r>
    </w:p>
    <w:p w14:paraId="78D434BD" w14:textId="347430F1" w:rsidR="00C12CFA" w:rsidRPr="00133427" w:rsidRDefault="00C12CFA" w:rsidP="00133427">
      <w:pPr>
        <w:suppressAutoHyphens/>
        <w:autoSpaceDN w:val="0"/>
        <w:spacing w:after="0" w:line="360" w:lineRule="auto"/>
        <w:ind w:left="360"/>
        <w:jc w:val="both"/>
        <w:textAlignment w:val="baseline"/>
        <w:rPr>
          <w:sz w:val="24"/>
          <w:szCs w:val="24"/>
        </w:rPr>
      </w:pPr>
    </w:p>
    <w:p w14:paraId="7FF83A28" w14:textId="79FA9111" w:rsidR="00C12CFA" w:rsidRPr="00133427" w:rsidRDefault="00C12CFA" w:rsidP="00133427">
      <w:pPr>
        <w:numPr>
          <w:ilvl w:val="0"/>
          <w:numId w:val="20"/>
        </w:numPr>
        <w:suppressAutoHyphens/>
        <w:autoSpaceDN w:val="0"/>
        <w:spacing w:after="0" w:line="360" w:lineRule="auto"/>
        <w:jc w:val="both"/>
        <w:textAlignment w:val="baseline"/>
        <w:rPr>
          <w:sz w:val="24"/>
          <w:szCs w:val="24"/>
        </w:rPr>
      </w:pPr>
      <w:r w:rsidRPr="00133427">
        <w:rPr>
          <w:sz w:val="24"/>
          <w:szCs w:val="24"/>
        </w:rPr>
        <w:t xml:space="preserve">those same cuts have led to a rapid rise in the number of recently qualified teachers emigrating.  </w:t>
      </w:r>
      <w:r w:rsidR="002D21DA" w:rsidRPr="00133427">
        <w:rPr>
          <w:sz w:val="24"/>
          <w:szCs w:val="24"/>
        </w:rPr>
        <w:t>Between 2008 and 2014, the emigration rate of recently qualified post-primary teachers increased steadily, from 4% in 2008 to 18%-21% in 2014.  At a recent recruitment fair for soon-to-be qualified teachers in an Irish university, there were forty-two stands.  Thirty-six of those stands were hosted by international recruitment agencies or groups of schools.</w:t>
      </w:r>
    </w:p>
    <w:p w14:paraId="4438DC87" w14:textId="46A40426" w:rsidR="00C12CFA" w:rsidRDefault="00C12CFA" w:rsidP="00133427">
      <w:pPr>
        <w:numPr>
          <w:ilvl w:val="0"/>
          <w:numId w:val="20"/>
        </w:numPr>
        <w:suppressAutoHyphens/>
        <w:autoSpaceDN w:val="0"/>
        <w:spacing w:after="0" w:line="360" w:lineRule="auto"/>
        <w:jc w:val="both"/>
        <w:textAlignment w:val="baseline"/>
        <w:rPr>
          <w:sz w:val="24"/>
          <w:szCs w:val="24"/>
        </w:rPr>
      </w:pPr>
      <w:r w:rsidRPr="00133427">
        <w:rPr>
          <w:sz w:val="24"/>
          <w:szCs w:val="24"/>
        </w:rPr>
        <w:lastRenderedPageBreak/>
        <w:t xml:space="preserve">service to students in schools is suffering severe disruption because of timetable changes </w:t>
      </w:r>
      <w:r w:rsidR="00133427" w:rsidRPr="00133427">
        <w:rPr>
          <w:sz w:val="24"/>
          <w:szCs w:val="24"/>
        </w:rPr>
        <w:t xml:space="preserve">and restrictions </w:t>
      </w:r>
      <w:r w:rsidRPr="00133427">
        <w:rPr>
          <w:sz w:val="24"/>
          <w:szCs w:val="24"/>
        </w:rPr>
        <w:t>necessitated by the lack of qualified teachers, including teachers for substitution (with a resultant fracturing of delivery and absence of continuity for students)</w:t>
      </w:r>
    </w:p>
    <w:p w14:paraId="1D3FFB9A" w14:textId="77777777" w:rsidR="00B53F02" w:rsidRPr="00133427" w:rsidRDefault="00B53F02" w:rsidP="00B53F02">
      <w:pPr>
        <w:suppressAutoHyphens/>
        <w:autoSpaceDN w:val="0"/>
        <w:spacing w:after="0" w:line="360" w:lineRule="auto"/>
        <w:ind w:left="720"/>
        <w:jc w:val="both"/>
        <w:textAlignment w:val="baseline"/>
        <w:rPr>
          <w:sz w:val="24"/>
          <w:szCs w:val="24"/>
        </w:rPr>
      </w:pPr>
    </w:p>
    <w:p w14:paraId="547108AC" w14:textId="440DBD26" w:rsidR="00C12CFA" w:rsidRDefault="00C12CFA" w:rsidP="00133427">
      <w:pPr>
        <w:numPr>
          <w:ilvl w:val="0"/>
          <w:numId w:val="20"/>
        </w:numPr>
        <w:suppressAutoHyphens/>
        <w:autoSpaceDN w:val="0"/>
        <w:spacing w:after="0" w:line="360" w:lineRule="auto"/>
        <w:jc w:val="both"/>
        <w:textAlignment w:val="baseline"/>
        <w:rPr>
          <w:sz w:val="24"/>
          <w:szCs w:val="24"/>
        </w:rPr>
      </w:pPr>
      <w:r w:rsidRPr="00133427">
        <w:rPr>
          <w:sz w:val="24"/>
          <w:szCs w:val="24"/>
        </w:rPr>
        <w:t>students are losing out on educational opportunities both inside and outside of school</w:t>
      </w:r>
    </w:p>
    <w:p w14:paraId="5E1E24E8" w14:textId="2C548E86" w:rsidR="00B53F02" w:rsidRPr="00133427" w:rsidRDefault="00B53F02" w:rsidP="00B53F02">
      <w:pPr>
        <w:suppressAutoHyphens/>
        <w:autoSpaceDN w:val="0"/>
        <w:spacing w:after="0" w:line="360" w:lineRule="auto"/>
        <w:jc w:val="both"/>
        <w:textAlignment w:val="baseline"/>
        <w:rPr>
          <w:sz w:val="24"/>
          <w:szCs w:val="24"/>
        </w:rPr>
      </w:pPr>
    </w:p>
    <w:p w14:paraId="19471E80" w14:textId="74C783FC" w:rsidR="00133427" w:rsidRPr="00B53F02" w:rsidRDefault="00133427" w:rsidP="00133427">
      <w:pPr>
        <w:pStyle w:val="ListParagraph"/>
        <w:numPr>
          <w:ilvl w:val="0"/>
          <w:numId w:val="20"/>
        </w:numPr>
        <w:spacing w:after="0" w:line="360" w:lineRule="auto"/>
        <w:jc w:val="both"/>
        <w:rPr>
          <w:b/>
          <w:sz w:val="24"/>
          <w:szCs w:val="24"/>
          <w:u w:val="single"/>
        </w:rPr>
      </w:pPr>
      <w:r w:rsidRPr="00133427">
        <w:rPr>
          <w:sz w:val="24"/>
          <w:szCs w:val="24"/>
        </w:rPr>
        <w:t>the absence of subject specialist teachers to cover for colleagues who are engaged in work for agencies related to the DES such as the National Council for Curriculum and Assessment</w:t>
      </w:r>
      <w:r w:rsidR="00B53F02">
        <w:rPr>
          <w:sz w:val="24"/>
          <w:szCs w:val="24"/>
        </w:rPr>
        <w:t xml:space="preserve"> (NCCA)</w:t>
      </w:r>
      <w:r w:rsidRPr="00133427">
        <w:rPr>
          <w:sz w:val="24"/>
          <w:szCs w:val="24"/>
        </w:rPr>
        <w:t>, the State Examinations Commission</w:t>
      </w:r>
      <w:r w:rsidR="00B53F02">
        <w:rPr>
          <w:sz w:val="24"/>
          <w:szCs w:val="24"/>
        </w:rPr>
        <w:t xml:space="preserve"> (SEC)</w:t>
      </w:r>
      <w:r w:rsidRPr="00133427">
        <w:rPr>
          <w:sz w:val="24"/>
          <w:szCs w:val="24"/>
        </w:rPr>
        <w:t>, the Professional Development Service for Teachers (PDST), Special Education Support Service (SESS) and Junior Cycle for Teachers (JCT)</w:t>
      </w:r>
    </w:p>
    <w:p w14:paraId="756D8DFC" w14:textId="4B16F733" w:rsidR="00B53F02" w:rsidRPr="00B53F02" w:rsidRDefault="00B53F02" w:rsidP="00B53F02">
      <w:pPr>
        <w:spacing w:after="0" w:line="360" w:lineRule="auto"/>
        <w:jc w:val="both"/>
        <w:rPr>
          <w:b/>
          <w:sz w:val="24"/>
          <w:szCs w:val="24"/>
          <w:u w:val="single"/>
        </w:rPr>
      </w:pPr>
    </w:p>
    <w:p w14:paraId="6E596519" w14:textId="46BAFF95" w:rsidR="00C12CFA" w:rsidRDefault="00133427" w:rsidP="00133427">
      <w:pPr>
        <w:numPr>
          <w:ilvl w:val="0"/>
          <w:numId w:val="20"/>
        </w:numPr>
        <w:suppressAutoHyphens/>
        <w:autoSpaceDN w:val="0"/>
        <w:spacing w:after="0" w:line="360" w:lineRule="auto"/>
        <w:jc w:val="both"/>
        <w:textAlignment w:val="baseline"/>
        <w:rPr>
          <w:sz w:val="24"/>
          <w:szCs w:val="24"/>
        </w:rPr>
      </w:pPr>
      <w:r w:rsidRPr="00133427">
        <w:rPr>
          <w:sz w:val="24"/>
          <w:szCs w:val="24"/>
        </w:rPr>
        <w:t>In many instances, schools cannot get teachers of Irish, Maths or Home Econ</w:t>
      </w:r>
      <w:r w:rsidR="00250E4A">
        <w:rPr>
          <w:sz w:val="24"/>
          <w:szCs w:val="24"/>
        </w:rPr>
        <w:t>omics.  However,</w:t>
      </w:r>
      <w:r w:rsidRPr="00133427">
        <w:rPr>
          <w:sz w:val="24"/>
          <w:szCs w:val="24"/>
        </w:rPr>
        <w:t xml:space="preserve"> </w:t>
      </w:r>
      <w:r w:rsidR="00C12CFA" w:rsidRPr="00133427">
        <w:rPr>
          <w:sz w:val="24"/>
          <w:szCs w:val="24"/>
        </w:rPr>
        <w:t xml:space="preserve">the crisis is not restricted to a small number of subject areas; it is </w:t>
      </w:r>
      <w:r w:rsidRPr="00133427">
        <w:rPr>
          <w:sz w:val="24"/>
          <w:szCs w:val="24"/>
        </w:rPr>
        <w:t>affecting a large and growing number of subjects</w:t>
      </w:r>
    </w:p>
    <w:p w14:paraId="2AAF0EC8" w14:textId="6CDA696E" w:rsidR="00B53F02" w:rsidRPr="00133427" w:rsidRDefault="00B53F02" w:rsidP="00B53F02">
      <w:pPr>
        <w:suppressAutoHyphens/>
        <w:autoSpaceDN w:val="0"/>
        <w:spacing w:after="0" w:line="360" w:lineRule="auto"/>
        <w:jc w:val="both"/>
        <w:textAlignment w:val="baseline"/>
        <w:rPr>
          <w:sz w:val="24"/>
          <w:szCs w:val="24"/>
        </w:rPr>
      </w:pPr>
    </w:p>
    <w:p w14:paraId="1621981E" w14:textId="4899C3DF" w:rsidR="00133427" w:rsidRDefault="00133427" w:rsidP="00133427">
      <w:pPr>
        <w:numPr>
          <w:ilvl w:val="0"/>
          <w:numId w:val="20"/>
        </w:numPr>
        <w:suppressAutoHyphens/>
        <w:autoSpaceDN w:val="0"/>
        <w:spacing w:after="0" w:line="360" w:lineRule="auto"/>
        <w:jc w:val="both"/>
        <w:textAlignment w:val="baseline"/>
        <w:rPr>
          <w:sz w:val="24"/>
          <w:szCs w:val="24"/>
        </w:rPr>
      </w:pPr>
      <w:r w:rsidRPr="00133427">
        <w:rPr>
          <w:sz w:val="24"/>
          <w:szCs w:val="24"/>
        </w:rPr>
        <w:t xml:space="preserve">There are more attractive opportunities in other graduate entry employments.  The HEA (2018) found that graduates in the areas of natural sciences/maths/statistics, ICT, engineering/manufacturing/construction, and health/welfare are </w:t>
      </w:r>
      <w:r w:rsidR="00250E4A">
        <w:rPr>
          <w:sz w:val="24"/>
          <w:szCs w:val="24"/>
        </w:rPr>
        <w:t xml:space="preserve">in a position to earn considerably more in other graduate entry employments than they would in teaching </w:t>
      </w:r>
    </w:p>
    <w:p w14:paraId="048B046D" w14:textId="47A25B69" w:rsidR="00B53F02" w:rsidRPr="00133427" w:rsidRDefault="00B53F02" w:rsidP="00B53F02">
      <w:pPr>
        <w:suppressAutoHyphens/>
        <w:autoSpaceDN w:val="0"/>
        <w:spacing w:after="0" w:line="360" w:lineRule="auto"/>
        <w:jc w:val="both"/>
        <w:textAlignment w:val="baseline"/>
        <w:rPr>
          <w:sz w:val="24"/>
          <w:szCs w:val="24"/>
        </w:rPr>
      </w:pPr>
    </w:p>
    <w:p w14:paraId="6BC6EC93" w14:textId="437C631F" w:rsidR="00C12CFA" w:rsidRDefault="00C12CFA" w:rsidP="00133427">
      <w:pPr>
        <w:pStyle w:val="ListParagraph"/>
        <w:numPr>
          <w:ilvl w:val="0"/>
          <w:numId w:val="20"/>
        </w:numPr>
        <w:spacing w:after="0" w:line="360" w:lineRule="auto"/>
        <w:jc w:val="both"/>
        <w:rPr>
          <w:sz w:val="24"/>
          <w:szCs w:val="24"/>
        </w:rPr>
      </w:pPr>
      <w:r w:rsidRPr="00133427">
        <w:rPr>
          <w:sz w:val="24"/>
          <w:szCs w:val="24"/>
        </w:rPr>
        <w:t xml:space="preserve">Short-term patches/fixes have failed in other jurisdictions. </w:t>
      </w:r>
      <w:r w:rsidR="00133427" w:rsidRPr="00133427">
        <w:rPr>
          <w:sz w:val="24"/>
          <w:szCs w:val="24"/>
        </w:rPr>
        <w:t xml:space="preserve"> They have been suggested here such as restrictions on career breaks or changing the quantum of hours that a person on career break can teach.</w:t>
      </w:r>
      <w:r w:rsidRPr="00133427">
        <w:rPr>
          <w:sz w:val="24"/>
          <w:szCs w:val="24"/>
        </w:rPr>
        <w:t xml:space="preserve"> They will delay rather than provide a solution</w:t>
      </w:r>
    </w:p>
    <w:p w14:paraId="15F3623F" w14:textId="0F9F6188" w:rsidR="00B53F02" w:rsidRPr="00B53F02" w:rsidRDefault="00B53F02" w:rsidP="00B53F02">
      <w:pPr>
        <w:spacing w:after="0" w:line="360" w:lineRule="auto"/>
        <w:jc w:val="both"/>
        <w:rPr>
          <w:sz w:val="24"/>
          <w:szCs w:val="24"/>
        </w:rPr>
      </w:pPr>
    </w:p>
    <w:p w14:paraId="2A13EFC7" w14:textId="101C6B33" w:rsidR="00A55235" w:rsidRPr="00B53F02" w:rsidRDefault="00C12CFA" w:rsidP="00B53F02">
      <w:pPr>
        <w:pStyle w:val="ListParagraph"/>
        <w:numPr>
          <w:ilvl w:val="0"/>
          <w:numId w:val="21"/>
        </w:numPr>
        <w:spacing w:after="0" w:line="360" w:lineRule="auto"/>
        <w:jc w:val="both"/>
        <w:rPr>
          <w:sz w:val="24"/>
          <w:szCs w:val="24"/>
        </w:rPr>
      </w:pPr>
      <w:r w:rsidRPr="00133427">
        <w:rPr>
          <w:sz w:val="24"/>
          <w:szCs w:val="24"/>
        </w:rPr>
        <w:t>There are worrying trends in the age profile of the teaching profession.  The average age of post-primary teachers is 41.1.  Over 15% of teachers are over the age of 55 but only 7% are under the age of 25.</w:t>
      </w:r>
      <w:r w:rsidR="00133427" w:rsidRPr="00133427">
        <w:rPr>
          <w:sz w:val="24"/>
          <w:szCs w:val="24"/>
        </w:rPr>
        <w:t xml:space="preserve">  The average age on first employment as a post-primary teacher, </w:t>
      </w:r>
      <w:r w:rsidR="00250E4A">
        <w:rPr>
          <w:sz w:val="24"/>
          <w:szCs w:val="24"/>
        </w:rPr>
        <w:t>(</w:t>
      </w:r>
      <w:r w:rsidR="00133427" w:rsidRPr="00133427">
        <w:rPr>
          <w:sz w:val="24"/>
          <w:szCs w:val="24"/>
        </w:rPr>
        <w:t>generally on part-time hours in a temporary position</w:t>
      </w:r>
      <w:r w:rsidR="00250E4A">
        <w:rPr>
          <w:sz w:val="24"/>
          <w:szCs w:val="24"/>
        </w:rPr>
        <w:t>)</w:t>
      </w:r>
      <w:r w:rsidR="00133427" w:rsidRPr="00133427">
        <w:rPr>
          <w:sz w:val="24"/>
          <w:szCs w:val="24"/>
        </w:rPr>
        <w:t xml:space="preserve"> is now over 26 years.</w:t>
      </w:r>
    </w:p>
    <w:p w14:paraId="713FD822" w14:textId="77777777" w:rsidR="0028235C" w:rsidRPr="00133427" w:rsidRDefault="0028235C" w:rsidP="00133427">
      <w:pPr>
        <w:spacing w:after="0" w:line="360" w:lineRule="auto"/>
        <w:jc w:val="both"/>
        <w:rPr>
          <w:b/>
          <w:sz w:val="24"/>
          <w:szCs w:val="24"/>
          <w:u w:val="single"/>
        </w:rPr>
      </w:pPr>
    </w:p>
    <w:p w14:paraId="0F2893F0" w14:textId="2A7BFA58" w:rsidR="00CC708E" w:rsidRPr="00133427" w:rsidRDefault="00386B3F" w:rsidP="00133427">
      <w:pPr>
        <w:spacing w:after="0" w:line="360" w:lineRule="auto"/>
        <w:jc w:val="both"/>
        <w:rPr>
          <w:b/>
          <w:sz w:val="24"/>
          <w:szCs w:val="24"/>
          <w:u w:val="single"/>
        </w:rPr>
      </w:pPr>
      <w:r w:rsidRPr="00133427">
        <w:rPr>
          <w:b/>
          <w:sz w:val="24"/>
          <w:szCs w:val="24"/>
          <w:u w:val="single"/>
        </w:rPr>
        <w:t>The Solution</w:t>
      </w:r>
    </w:p>
    <w:p w14:paraId="555763F6" w14:textId="26C54C4A" w:rsidR="008516BA" w:rsidRDefault="00386B3F" w:rsidP="00133427">
      <w:pPr>
        <w:spacing w:after="0" w:line="360" w:lineRule="auto"/>
        <w:jc w:val="both"/>
        <w:rPr>
          <w:sz w:val="24"/>
          <w:szCs w:val="24"/>
        </w:rPr>
      </w:pPr>
      <w:r w:rsidRPr="00133427">
        <w:rPr>
          <w:sz w:val="24"/>
          <w:szCs w:val="24"/>
        </w:rPr>
        <w:t>It is clear that the solution to the teacher supply crisis lies in a comprehensive plan for the abolition of discriminatory pay rates for new entrants. Stop</w:t>
      </w:r>
      <w:r w:rsidR="00250E4A">
        <w:rPr>
          <w:sz w:val="24"/>
          <w:szCs w:val="24"/>
        </w:rPr>
        <w:t>-</w:t>
      </w:r>
      <w:r w:rsidRPr="00133427">
        <w:rPr>
          <w:sz w:val="24"/>
          <w:szCs w:val="24"/>
        </w:rPr>
        <w:t>gap and ill-thought-out measures will not suffice.</w:t>
      </w:r>
    </w:p>
    <w:p w14:paraId="372D41D2" w14:textId="77777777" w:rsidR="00250E4A" w:rsidRPr="00133427" w:rsidRDefault="00250E4A" w:rsidP="00133427">
      <w:pPr>
        <w:spacing w:after="0" w:line="360" w:lineRule="auto"/>
        <w:jc w:val="both"/>
        <w:rPr>
          <w:sz w:val="24"/>
          <w:szCs w:val="24"/>
        </w:rPr>
      </w:pPr>
    </w:p>
    <w:p w14:paraId="664408C5" w14:textId="21FB5C83" w:rsidR="008516BA" w:rsidRPr="00CF7279" w:rsidRDefault="008516BA" w:rsidP="00DE3F34">
      <w:pPr>
        <w:spacing w:after="0" w:line="360" w:lineRule="auto"/>
        <w:jc w:val="both"/>
        <w:rPr>
          <w:b/>
          <w:u w:val="single"/>
        </w:rPr>
      </w:pPr>
      <w:r w:rsidRPr="00CF7279">
        <w:rPr>
          <w:b/>
          <w:u w:val="single"/>
        </w:rPr>
        <w:lastRenderedPageBreak/>
        <w:t>References</w:t>
      </w:r>
    </w:p>
    <w:p w14:paraId="58DD0B64" w14:textId="77777777" w:rsidR="00F35F20" w:rsidRPr="00F35F20" w:rsidRDefault="00F35F20" w:rsidP="00F35F20">
      <w:pPr>
        <w:spacing w:after="0" w:line="360" w:lineRule="auto"/>
        <w:jc w:val="both"/>
      </w:pPr>
      <w:r w:rsidRPr="00F35F20">
        <w:rPr>
          <w:rFonts w:cs="Arial"/>
        </w:rPr>
        <w:t xml:space="preserve">HEA (2018), </w:t>
      </w:r>
      <w:r w:rsidRPr="00F35F20">
        <w:rPr>
          <w:rFonts w:cs="Arial"/>
          <w:i/>
        </w:rPr>
        <w:t>What Do Graduates Do? The class of 2016</w:t>
      </w:r>
      <w:r w:rsidRPr="00F35F20">
        <w:rPr>
          <w:rFonts w:cs="Arial"/>
        </w:rPr>
        <w:t>, Dublin: Higher Education Authority</w:t>
      </w:r>
    </w:p>
    <w:p w14:paraId="0F382DB0" w14:textId="77777777" w:rsidR="00F35F20" w:rsidRPr="00CF7279" w:rsidRDefault="00F35F20" w:rsidP="00F35F20">
      <w:pPr>
        <w:spacing w:after="0" w:line="360" w:lineRule="auto"/>
        <w:jc w:val="both"/>
      </w:pPr>
      <w:r w:rsidRPr="00CF7279">
        <w:t xml:space="preserve">OECD (2015), </w:t>
      </w:r>
      <w:r w:rsidRPr="00CF7279">
        <w:rPr>
          <w:i/>
        </w:rPr>
        <w:t>Teachers Matter: Attracting, developing and retaining teachers</w:t>
      </w:r>
      <w:r w:rsidRPr="00CF7279">
        <w:t>, Paris: OECD Publishing</w:t>
      </w:r>
    </w:p>
    <w:p w14:paraId="1742E5D2" w14:textId="77777777" w:rsidR="00F35F20" w:rsidRDefault="00F35F20" w:rsidP="00F35F20">
      <w:pPr>
        <w:spacing w:after="200" w:line="360" w:lineRule="auto"/>
        <w:rPr>
          <w:rFonts w:cs="Arial"/>
        </w:rPr>
      </w:pPr>
      <w:r>
        <w:rPr>
          <w:rFonts w:cs="Arial"/>
        </w:rPr>
        <w:t>Teaching Council (2017</w:t>
      </w:r>
      <w:r w:rsidRPr="00CF7279">
        <w:rPr>
          <w:rFonts w:cs="Arial"/>
        </w:rPr>
        <w:t xml:space="preserve">), </w:t>
      </w:r>
      <w:r>
        <w:rPr>
          <w:rFonts w:cs="Arial"/>
          <w:i/>
        </w:rPr>
        <w:t>Striking the Balance</w:t>
      </w:r>
      <w:r w:rsidRPr="00CF7279">
        <w:rPr>
          <w:rFonts w:cs="Arial"/>
        </w:rPr>
        <w:t>, Maynooth: Teaching Council</w:t>
      </w:r>
    </w:p>
    <w:p w14:paraId="39A17972" w14:textId="52683896" w:rsidR="0028235C" w:rsidRPr="00CF7279" w:rsidRDefault="0028235C" w:rsidP="0028235C">
      <w:pPr>
        <w:autoSpaceDE w:val="0"/>
        <w:autoSpaceDN w:val="0"/>
        <w:adjustRightInd w:val="0"/>
        <w:spacing w:after="0" w:line="360" w:lineRule="auto"/>
        <w:rPr>
          <w:rFonts w:cs="Arial"/>
          <w:color w:val="000000"/>
        </w:rPr>
      </w:pPr>
    </w:p>
    <w:sectPr w:rsidR="0028235C" w:rsidRPr="00CF7279" w:rsidSect="00B53F02">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E61BB" w14:textId="77777777" w:rsidR="00B63072" w:rsidRDefault="00B63072" w:rsidP="0084145C">
      <w:pPr>
        <w:spacing w:after="0" w:line="240" w:lineRule="auto"/>
      </w:pPr>
      <w:r>
        <w:separator/>
      </w:r>
    </w:p>
  </w:endnote>
  <w:endnote w:type="continuationSeparator" w:id="0">
    <w:p w14:paraId="4ADEA98B" w14:textId="77777777" w:rsidR="00B63072" w:rsidRDefault="00B63072" w:rsidP="0084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989662"/>
      <w:docPartObj>
        <w:docPartGallery w:val="Page Numbers (Bottom of Page)"/>
        <w:docPartUnique/>
      </w:docPartObj>
    </w:sdtPr>
    <w:sdtEndPr>
      <w:rPr>
        <w:noProof/>
      </w:rPr>
    </w:sdtEndPr>
    <w:sdtContent>
      <w:p w14:paraId="6901D8CA" w14:textId="3A0A29D1" w:rsidR="00133427" w:rsidRDefault="00133427">
        <w:pPr>
          <w:pStyle w:val="Footer"/>
          <w:jc w:val="right"/>
        </w:pPr>
        <w:r>
          <w:fldChar w:fldCharType="begin"/>
        </w:r>
        <w:r>
          <w:instrText xml:space="preserve"> PAGE   \* MERGEFORMAT </w:instrText>
        </w:r>
        <w:r>
          <w:fldChar w:fldCharType="separate"/>
        </w:r>
        <w:r w:rsidR="00C03F29">
          <w:rPr>
            <w:noProof/>
          </w:rPr>
          <w:t>1</w:t>
        </w:r>
        <w:r>
          <w:rPr>
            <w:noProof/>
          </w:rPr>
          <w:fldChar w:fldCharType="end"/>
        </w:r>
      </w:p>
    </w:sdtContent>
  </w:sdt>
  <w:p w14:paraId="06582505" w14:textId="77777777" w:rsidR="00133427" w:rsidRDefault="00133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BC5B3" w14:textId="77777777" w:rsidR="00B63072" w:rsidRDefault="00B63072" w:rsidP="0084145C">
      <w:pPr>
        <w:spacing w:after="0" w:line="240" w:lineRule="auto"/>
      </w:pPr>
      <w:r>
        <w:separator/>
      </w:r>
    </w:p>
  </w:footnote>
  <w:footnote w:type="continuationSeparator" w:id="0">
    <w:p w14:paraId="66A6A905" w14:textId="77777777" w:rsidR="00B63072" w:rsidRDefault="00B63072" w:rsidP="00841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771"/>
    <w:multiLevelType w:val="hybridMultilevel"/>
    <w:tmpl w:val="467E9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813534"/>
    <w:multiLevelType w:val="hybridMultilevel"/>
    <w:tmpl w:val="7368C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1453DE"/>
    <w:multiLevelType w:val="multilevel"/>
    <w:tmpl w:val="63CE4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78D3A5A"/>
    <w:multiLevelType w:val="multilevel"/>
    <w:tmpl w:val="B4A4A9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677EE7"/>
    <w:multiLevelType w:val="hybridMultilevel"/>
    <w:tmpl w:val="5CBAE5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8850D8"/>
    <w:multiLevelType w:val="hybridMultilevel"/>
    <w:tmpl w:val="97BEE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D7B7374"/>
    <w:multiLevelType w:val="multilevel"/>
    <w:tmpl w:val="E24043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2B328F0"/>
    <w:multiLevelType w:val="multilevel"/>
    <w:tmpl w:val="5BAC387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B4E448D"/>
    <w:multiLevelType w:val="multilevel"/>
    <w:tmpl w:val="10F29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93E4B0C"/>
    <w:multiLevelType w:val="hybridMultilevel"/>
    <w:tmpl w:val="BD0C21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CE0205C"/>
    <w:multiLevelType w:val="hybridMultilevel"/>
    <w:tmpl w:val="30404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2933F67"/>
    <w:multiLevelType w:val="hybridMultilevel"/>
    <w:tmpl w:val="A4C6EB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6141E9B"/>
    <w:multiLevelType w:val="hybridMultilevel"/>
    <w:tmpl w:val="AD32C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19"/>
  </w:num>
  <w:num w:numId="5">
    <w:abstractNumId w:val="16"/>
  </w:num>
  <w:num w:numId="6">
    <w:abstractNumId w:val="1"/>
  </w:num>
  <w:num w:numId="7">
    <w:abstractNumId w:val="8"/>
  </w:num>
  <w:num w:numId="8">
    <w:abstractNumId w:val="15"/>
  </w:num>
  <w:num w:numId="9">
    <w:abstractNumId w:val="13"/>
  </w:num>
  <w:num w:numId="10">
    <w:abstractNumId w:val="21"/>
  </w:num>
  <w:num w:numId="11">
    <w:abstractNumId w:val="14"/>
  </w:num>
  <w:num w:numId="12">
    <w:abstractNumId w:val="0"/>
  </w:num>
  <w:num w:numId="13">
    <w:abstractNumId w:val="18"/>
  </w:num>
  <w:num w:numId="14">
    <w:abstractNumId w:val="4"/>
  </w:num>
  <w:num w:numId="15">
    <w:abstractNumId w:val="2"/>
  </w:num>
  <w:num w:numId="16">
    <w:abstractNumId w:val="20"/>
  </w:num>
  <w:num w:numId="17">
    <w:abstractNumId w:val="12"/>
  </w:num>
  <w:num w:numId="18">
    <w:abstractNumId w:val="5"/>
  </w:num>
  <w:num w:numId="19">
    <w:abstractNumId w:val="6"/>
  </w:num>
  <w:num w:numId="20">
    <w:abstractNumId w:val="11"/>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4"/>
    <w:rsid w:val="00001F6F"/>
    <w:rsid w:val="00015A06"/>
    <w:rsid w:val="00017F05"/>
    <w:rsid w:val="00020DB4"/>
    <w:rsid w:val="00021C7B"/>
    <w:rsid w:val="00023BC3"/>
    <w:rsid w:val="00027F0A"/>
    <w:rsid w:val="00030807"/>
    <w:rsid w:val="000478ED"/>
    <w:rsid w:val="00050223"/>
    <w:rsid w:val="000A32E3"/>
    <w:rsid w:val="000A6F33"/>
    <w:rsid w:val="000B120C"/>
    <w:rsid w:val="000B6D1B"/>
    <w:rsid w:val="000C09F6"/>
    <w:rsid w:val="000C2063"/>
    <w:rsid w:val="000D1B84"/>
    <w:rsid w:val="000D78D5"/>
    <w:rsid w:val="000E22A7"/>
    <w:rsid w:val="000E49FC"/>
    <w:rsid w:val="000F3170"/>
    <w:rsid w:val="000F52B2"/>
    <w:rsid w:val="001036F9"/>
    <w:rsid w:val="0010428C"/>
    <w:rsid w:val="00123F17"/>
    <w:rsid w:val="00133427"/>
    <w:rsid w:val="001456A9"/>
    <w:rsid w:val="00146738"/>
    <w:rsid w:val="001522ED"/>
    <w:rsid w:val="001674FA"/>
    <w:rsid w:val="0018717F"/>
    <w:rsid w:val="00190EF9"/>
    <w:rsid w:val="00192003"/>
    <w:rsid w:val="0019362F"/>
    <w:rsid w:val="00194340"/>
    <w:rsid w:val="00197292"/>
    <w:rsid w:val="001A0ED8"/>
    <w:rsid w:val="001A568E"/>
    <w:rsid w:val="001A6DAB"/>
    <w:rsid w:val="001C4AAE"/>
    <w:rsid w:val="001D412D"/>
    <w:rsid w:val="001D54F1"/>
    <w:rsid w:val="001F538B"/>
    <w:rsid w:val="001F67A6"/>
    <w:rsid w:val="00225FFB"/>
    <w:rsid w:val="00230828"/>
    <w:rsid w:val="00231D02"/>
    <w:rsid w:val="002441BD"/>
    <w:rsid w:val="00244472"/>
    <w:rsid w:val="0024520B"/>
    <w:rsid w:val="00246EE2"/>
    <w:rsid w:val="00250E4A"/>
    <w:rsid w:val="00251BA4"/>
    <w:rsid w:val="00261757"/>
    <w:rsid w:val="00261D19"/>
    <w:rsid w:val="00264A89"/>
    <w:rsid w:val="0027542B"/>
    <w:rsid w:val="00280F55"/>
    <w:rsid w:val="0028235C"/>
    <w:rsid w:val="00282CA3"/>
    <w:rsid w:val="00290384"/>
    <w:rsid w:val="00293524"/>
    <w:rsid w:val="00296F39"/>
    <w:rsid w:val="002A4C09"/>
    <w:rsid w:val="002A569F"/>
    <w:rsid w:val="002B16C3"/>
    <w:rsid w:val="002B2B58"/>
    <w:rsid w:val="002B3562"/>
    <w:rsid w:val="002B50B8"/>
    <w:rsid w:val="002D21DA"/>
    <w:rsid w:val="002D6B85"/>
    <w:rsid w:val="002E13B8"/>
    <w:rsid w:val="002E490F"/>
    <w:rsid w:val="002E553B"/>
    <w:rsid w:val="002F2AD1"/>
    <w:rsid w:val="00307FF5"/>
    <w:rsid w:val="00311F72"/>
    <w:rsid w:val="0031492A"/>
    <w:rsid w:val="00324B70"/>
    <w:rsid w:val="00342A57"/>
    <w:rsid w:val="003500DD"/>
    <w:rsid w:val="003505F9"/>
    <w:rsid w:val="00366017"/>
    <w:rsid w:val="003662F4"/>
    <w:rsid w:val="003662FD"/>
    <w:rsid w:val="00366E5C"/>
    <w:rsid w:val="00367268"/>
    <w:rsid w:val="00373B48"/>
    <w:rsid w:val="00377B55"/>
    <w:rsid w:val="00386B3F"/>
    <w:rsid w:val="003A3A98"/>
    <w:rsid w:val="003A3C5D"/>
    <w:rsid w:val="003A69DE"/>
    <w:rsid w:val="003B07B6"/>
    <w:rsid w:val="003C18DB"/>
    <w:rsid w:val="003C5798"/>
    <w:rsid w:val="003C7AE0"/>
    <w:rsid w:val="003D29AE"/>
    <w:rsid w:val="003D4A25"/>
    <w:rsid w:val="003D570A"/>
    <w:rsid w:val="003E72AD"/>
    <w:rsid w:val="003F14EB"/>
    <w:rsid w:val="00406327"/>
    <w:rsid w:val="0041104C"/>
    <w:rsid w:val="0042135E"/>
    <w:rsid w:val="004304DC"/>
    <w:rsid w:val="004341CF"/>
    <w:rsid w:val="0044191D"/>
    <w:rsid w:val="00453343"/>
    <w:rsid w:val="00453BBB"/>
    <w:rsid w:val="004677D3"/>
    <w:rsid w:val="00472ABE"/>
    <w:rsid w:val="00475683"/>
    <w:rsid w:val="00487B33"/>
    <w:rsid w:val="004965AF"/>
    <w:rsid w:val="004A3AAE"/>
    <w:rsid w:val="004B2784"/>
    <w:rsid w:val="004B3052"/>
    <w:rsid w:val="004C2737"/>
    <w:rsid w:val="004C28C8"/>
    <w:rsid w:val="004D7897"/>
    <w:rsid w:val="004E491E"/>
    <w:rsid w:val="004F1A3F"/>
    <w:rsid w:val="00506CEF"/>
    <w:rsid w:val="00511876"/>
    <w:rsid w:val="005160BD"/>
    <w:rsid w:val="00535981"/>
    <w:rsid w:val="005405CD"/>
    <w:rsid w:val="00542274"/>
    <w:rsid w:val="00554298"/>
    <w:rsid w:val="0055506C"/>
    <w:rsid w:val="00560B54"/>
    <w:rsid w:val="00577038"/>
    <w:rsid w:val="00584363"/>
    <w:rsid w:val="00586FD1"/>
    <w:rsid w:val="00592A08"/>
    <w:rsid w:val="005A57C0"/>
    <w:rsid w:val="005C6CA4"/>
    <w:rsid w:val="005E3702"/>
    <w:rsid w:val="005F1A07"/>
    <w:rsid w:val="0061555D"/>
    <w:rsid w:val="00647F93"/>
    <w:rsid w:val="006513EF"/>
    <w:rsid w:val="006543E9"/>
    <w:rsid w:val="0068149A"/>
    <w:rsid w:val="00693C7E"/>
    <w:rsid w:val="00695428"/>
    <w:rsid w:val="0069772B"/>
    <w:rsid w:val="006A3148"/>
    <w:rsid w:val="006B2416"/>
    <w:rsid w:val="006C3BF5"/>
    <w:rsid w:val="006D0875"/>
    <w:rsid w:val="006D3B2A"/>
    <w:rsid w:val="006D6989"/>
    <w:rsid w:val="006E3D81"/>
    <w:rsid w:val="006E445A"/>
    <w:rsid w:val="006E4C85"/>
    <w:rsid w:val="006E7344"/>
    <w:rsid w:val="006F2B71"/>
    <w:rsid w:val="006F4113"/>
    <w:rsid w:val="006F5DF0"/>
    <w:rsid w:val="007024A5"/>
    <w:rsid w:val="0071123F"/>
    <w:rsid w:val="007165AB"/>
    <w:rsid w:val="00720961"/>
    <w:rsid w:val="00722F0F"/>
    <w:rsid w:val="00744523"/>
    <w:rsid w:val="00750973"/>
    <w:rsid w:val="0076340A"/>
    <w:rsid w:val="00775B69"/>
    <w:rsid w:val="00784D27"/>
    <w:rsid w:val="007941B9"/>
    <w:rsid w:val="00795F12"/>
    <w:rsid w:val="007A5F18"/>
    <w:rsid w:val="007B1329"/>
    <w:rsid w:val="007B4766"/>
    <w:rsid w:val="007C6EA7"/>
    <w:rsid w:val="007D5302"/>
    <w:rsid w:val="007D59D1"/>
    <w:rsid w:val="007D615C"/>
    <w:rsid w:val="007D7D5B"/>
    <w:rsid w:val="007E025D"/>
    <w:rsid w:val="007E5BC8"/>
    <w:rsid w:val="00810E55"/>
    <w:rsid w:val="00811CD5"/>
    <w:rsid w:val="00826878"/>
    <w:rsid w:val="00826C52"/>
    <w:rsid w:val="00836D4D"/>
    <w:rsid w:val="0084145C"/>
    <w:rsid w:val="00844B02"/>
    <w:rsid w:val="008508B8"/>
    <w:rsid w:val="008516BA"/>
    <w:rsid w:val="00852D95"/>
    <w:rsid w:val="00855607"/>
    <w:rsid w:val="00861287"/>
    <w:rsid w:val="00866A05"/>
    <w:rsid w:val="0086770F"/>
    <w:rsid w:val="00870E5E"/>
    <w:rsid w:val="008749A9"/>
    <w:rsid w:val="008D2348"/>
    <w:rsid w:val="008D25CF"/>
    <w:rsid w:val="008D2C23"/>
    <w:rsid w:val="008E31BF"/>
    <w:rsid w:val="008E4E8C"/>
    <w:rsid w:val="008F04C0"/>
    <w:rsid w:val="008F05C7"/>
    <w:rsid w:val="008F3896"/>
    <w:rsid w:val="008F3ABC"/>
    <w:rsid w:val="0090239F"/>
    <w:rsid w:val="00911BE1"/>
    <w:rsid w:val="00912C76"/>
    <w:rsid w:val="00915261"/>
    <w:rsid w:val="00916CAD"/>
    <w:rsid w:val="009244B3"/>
    <w:rsid w:val="0093208E"/>
    <w:rsid w:val="00933273"/>
    <w:rsid w:val="00935248"/>
    <w:rsid w:val="00945749"/>
    <w:rsid w:val="00947CD3"/>
    <w:rsid w:val="00957A92"/>
    <w:rsid w:val="009636DC"/>
    <w:rsid w:val="00963D08"/>
    <w:rsid w:val="00964FCE"/>
    <w:rsid w:val="00970670"/>
    <w:rsid w:val="00980209"/>
    <w:rsid w:val="009833B2"/>
    <w:rsid w:val="00986C73"/>
    <w:rsid w:val="00990B58"/>
    <w:rsid w:val="009A2EA4"/>
    <w:rsid w:val="009B11C9"/>
    <w:rsid w:val="009B656D"/>
    <w:rsid w:val="009C68AA"/>
    <w:rsid w:val="009D70E7"/>
    <w:rsid w:val="009E11A6"/>
    <w:rsid w:val="009E2540"/>
    <w:rsid w:val="009E3116"/>
    <w:rsid w:val="009E3FA1"/>
    <w:rsid w:val="009F2DB6"/>
    <w:rsid w:val="009F3034"/>
    <w:rsid w:val="00A12494"/>
    <w:rsid w:val="00A1302A"/>
    <w:rsid w:val="00A175A3"/>
    <w:rsid w:val="00A21BD2"/>
    <w:rsid w:val="00A23190"/>
    <w:rsid w:val="00A43DEB"/>
    <w:rsid w:val="00A45A22"/>
    <w:rsid w:val="00A54949"/>
    <w:rsid w:val="00A55235"/>
    <w:rsid w:val="00A560A4"/>
    <w:rsid w:val="00A60D03"/>
    <w:rsid w:val="00A61C6E"/>
    <w:rsid w:val="00A62069"/>
    <w:rsid w:val="00A81D53"/>
    <w:rsid w:val="00A848C4"/>
    <w:rsid w:val="00A909F2"/>
    <w:rsid w:val="00AA1F7B"/>
    <w:rsid w:val="00AB30BB"/>
    <w:rsid w:val="00AB3990"/>
    <w:rsid w:val="00AC27FC"/>
    <w:rsid w:val="00AC32F0"/>
    <w:rsid w:val="00AC6A25"/>
    <w:rsid w:val="00AC6FC2"/>
    <w:rsid w:val="00AD143E"/>
    <w:rsid w:val="00AD5C80"/>
    <w:rsid w:val="00AD7A53"/>
    <w:rsid w:val="00AD7D90"/>
    <w:rsid w:val="00AE436E"/>
    <w:rsid w:val="00AE5DDC"/>
    <w:rsid w:val="00AE6946"/>
    <w:rsid w:val="00AE7560"/>
    <w:rsid w:val="00AF2DE2"/>
    <w:rsid w:val="00AF31A1"/>
    <w:rsid w:val="00B0011F"/>
    <w:rsid w:val="00B01995"/>
    <w:rsid w:val="00B040F2"/>
    <w:rsid w:val="00B25122"/>
    <w:rsid w:val="00B253DD"/>
    <w:rsid w:val="00B42153"/>
    <w:rsid w:val="00B45D77"/>
    <w:rsid w:val="00B50382"/>
    <w:rsid w:val="00B53F02"/>
    <w:rsid w:val="00B63072"/>
    <w:rsid w:val="00B64AE2"/>
    <w:rsid w:val="00B76884"/>
    <w:rsid w:val="00B8749F"/>
    <w:rsid w:val="00BA55C0"/>
    <w:rsid w:val="00BA7E6C"/>
    <w:rsid w:val="00BB4DF2"/>
    <w:rsid w:val="00BC2E08"/>
    <w:rsid w:val="00BD0FAF"/>
    <w:rsid w:val="00BD16B5"/>
    <w:rsid w:val="00BD3F30"/>
    <w:rsid w:val="00BF7DBD"/>
    <w:rsid w:val="00C001EE"/>
    <w:rsid w:val="00C03F29"/>
    <w:rsid w:val="00C04963"/>
    <w:rsid w:val="00C06C58"/>
    <w:rsid w:val="00C06D62"/>
    <w:rsid w:val="00C100C7"/>
    <w:rsid w:val="00C100F8"/>
    <w:rsid w:val="00C11F35"/>
    <w:rsid w:val="00C12CFA"/>
    <w:rsid w:val="00C20F3D"/>
    <w:rsid w:val="00C31378"/>
    <w:rsid w:val="00C33495"/>
    <w:rsid w:val="00C41C84"/>
    <w:rsid w:val="00C51233"/>
    <w:rsid w:val="00C52657"/>
    <w:rsid w:val="00C663B6"/>
    <w:rsid w:val="00C73038"/>
    <w:rsid w:val="00C75B3A"/>
    <w:rsid w:val="00C82359"/>
    <w:rsid w:val="00C866CB"/>
    <w:rsid w:val="00C8791A"/>
    <w:rsid w:val="00C87A41"/>
    <w:rsid w:val="00C90723"/>
    <w:rsid w:val="00CA5E8A"/>
    <w:rsid w:val="00CA6AD9"/>
    <w:rsid w:val="00CA7DDA"/>
    <w:rsid w:val="00CB5799"/>
    <w:rsid w:val="00CC018B"/>
    <w:rsid w:val="00CC708E"/>
    <w:rsid w:val="00CD2806"/>
    <w:rsid w:val="00CE789D"/>
    <w:rsid w:val="00CF3F03"/>
    <w:rsid w:val="00CF7279"/>
    <w:rsid w:val="00D0111E"/>
    <w:rsid w:val="00D06190"/>
    <w:rsid w:val="00D13D90"/>
    <w:rsid w:val="00D22D32"/>
    <w:rsid w:val="00D24897"/>
    <w:rsid w:val="00D30809"/>
    <w:rsid w:val="00D33F11"/>
    <w:rsid w:val="00D354F5"/>
    <w:rsid w:val="00D41BED"/>
    <w:rsid w:val="00D5057C"/>
    <w:rsid w:val="00D55F81"/>
    <w:rsid w:val="00D56152"/>
    <w:rsid w:val="00D61DEB"/>
    <w:rsid w:val="00D660A2"/>
    <w:rsid w:val="00D67347"/>
    <w:rsid w:val="00D67F92"/>
    <w:rsid w:val="00D72497"/>
    <w:rsid w:val="00D85EDF"/>
    <w:rsid w:val="00D945AF"/>
    <w:rsid w:val="00DA146F"/>
    <w:rsid w:val="00DA2A33"/>
    <w:rsid w:val="00DA326F"/>
    <w:rsid w:val="00DC168B"/>
    <w:rsid w:val="00DC5644"/>
    <w:rsid w:val="00DD0B05"/>
    <w:rsid w:val="00DD1492"/>
    <w:rsid w:val="00DD4040"/>
    <w:rsid w:val="00DD6132"/>
    <w:rsid w:val="00DD7D59"/>
    <w:rsid w:val="00DD7D7F"/>
    <w:rsid w:val="00DE0D9A"/>
    <w:rsid w:val="00DE3F34"/>
    <w:rsid w:val="00DF3B6B"/>
    <w:rsid w:val="00E06536"/>
    <w:rsid w:val="00E12274"/>
    <w:rsid w:val="00E12385"/>
    <w:rsid w:val="00E227B8"/>
    <w:rsid w:val="00E35D62"/>
    <w:rsid w:val="00E46AC7"/>
    <w:rsid w:val="00E512CE"/>
    <w:rsid w:val="00E519EA"/>
    <w:rsid w:val="00E56FE6"/>
    <w:rsid w:val="00E63D39"/>
    <w:rsid w:val="00E669D9"/>
    <w:rsid w:val="00E70C0A"/>
    <w:rsid w:val="00E73014"/>
    <w:rsid w:val="00E766EB"/>
    <w:rsid w:val="00E7790C"/>
    <w:rsid w:val="00E77AD9"/>
    <w:rsid w:val="00E854A1"/>
    <w:rsid w:val="00E9155C"/>
    <w:rsid w:val="00E967E3"/>
    <w:rsid w:val="00EC30FD"/>
    <w:rsid w:val="00EC507E"/>
    <w:rsid w:val="00ED10FA"/>
    <w:rsid w:val="00ED64B7"/>
    <w:rsid w:val="00EE42E6"/>
    <w:rsid w:val="00EF0CD1"/>
    <w:rsid w:val="00F0103A"/>
    <w:rsid w:val="00F0200D"/>
    <w:rsid w:val="00F07FEE"/>
    <w:rsid w:val="00F2045C"/>
    <w:rsid w:val="00F20C60"/>
    <w:rsid w:val="00F35F20"/>
    <w:rsid w:val="00F55F4A"/>
    <w:rsid w:val="00F56959"/>
    <w:rsid w:val="00F71F8F"/>
    <w:rsid w:val="00F737E2"/>
    <w:rsid w:val="00F73D17"/>
    <w:rsid w:val="00F8112D"/>
    <w:rsid w:val="00F94EBC"/>
    <w:rsid w:val="00FA325A"/>
    <w:rsid w:val="00FA5E45"/>
    <w:rsid w:val="00FA5EF9"/>
    <w:rsid w:val="00FA6619"/>
    <w:rsid w:val="00FB37BF"/>
    <w:rsid w:val="00FB3FD8"/>
    <w:rsid w:val="00FB5A84"/>
    <w:rsid w:val="00FC34CB"/>
    <w:rsid w:val="00FC6EF4"/>
    <w:rsid w:val="00FD7A7F"/>
    <w:rsid w:val="00FE3509"/>
    <w:rsid w:val="00FF3154"/>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F334"/>
  <w15:docId w15:val="{2DAD2DDD-C5FD-4633-BD94-279F72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CFA"/>
    <w:pPr>
      <w:keepNext/>
      <w:keepLines/>
      <w:spacing w:before="480" w:after="0" w:line="240" w:lineRule="auto"/>
      <w:jc w:val="both"/>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character" w:styleId="Hyperlink">
    <w:name w:val="Hyperlink"/>
    <w:basedOn w:val="DefaultParagraphFont"/>
    <w:uiPriority w:val="99"/>
    <w:unhideWhenUsed/>
    <w:rsid w:val="00EE42E6"/>
    <w:rPr>
      <w:color w:val="0563C1" w:themeColor="hyperlink"/>
      <w:u w:val="single"/>
    </w:rPr>
  </w:style>
  <w:style w:type="table" w:styleId="TableGrid">
    <w:name w:val="Table Grid"/>
    <w:basedOn w:val="TableNormal"/>
    <w:uiPriority w:val="39"/>
    <w:rsid w:val="007D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45C"/>
  </w:style>
  <w:style w:type="paragraph" w:styleId="Footer">
    <w:name w:val="footer"/>
    <w:basedOn w:val="Normal"/>
    <w:link w:val="FooterChar"/>
    <w:uiPriority w:val="99"/>
    <w:unhideWhenUsed/>
    <w:rsid w:val="00841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45C"/>
  </w:style>
  <w:style w:type="paragraph" w:styleId="CommentText">
    <w:name w:val="annotation text"/>
    <w:basedOn w:val="Normal"/>
    <w:link w:val="CommentTextChar"/>
    <w:uiPriority w:val="99"/>
    <w:semiHidden/>
    <w:unhideWhenUsed/>
    <w:rsid w:val="008F04C0"/>
    <w:pPr>
      <w:spacing w:line="240" w:lineRule="auto"/>
    </w:pPr>
    <w:rPr>
      <w:sz w:val="20"/>
      <w:szCs w:val="20"/>
    </w:rPr>
  </w:style>
  <w:style w:type="character" w:customStyle="1" w:styleId="CommentTextChar">
    <w:name w:val="Comment Text Char"/>
    <w:basedOn w:val="DefaultParagraphFont"/>
    <w:link w:val="CommentText"/>
    <w:uiPriority w:val="99"/>
    <w:semiHidden/>
    <w:rsid w:val="008F04C0"/>
    <w:rPr>
      <w:sz w:val="20"/>
      <w:szCs w:val="20"/>
    </w:rPr>
  </w:style>
  <w:style w:type="paragraph" w:customStyle="1" w:styleId="Default">
    <w:name w:val="Default"/>
    <w:rsid w:val="008F389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C12CFA"/>
    <w:rPr>
      <w:rFonts w:asciiTheme="majorHAnsi" w:eastAsiaTheme="majorEastAsia" w:hAnsiTheme="majorHAnsi" w:cstheme="majorBidi"/>
      <w:b/>
      <w:bCs/>
      <w:color w:val="2C6EAB"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37928">
      <w:bodyDiv w:val="1"/>
      <w:marLeft w:val="0"/>
      <w:marRight w:val="0"/>
      <w:marTop w:val="0"/>
      <w:marBottom w:val="0"/>
      <w:divBdr>
        <w:top w:val="none" w:sz="0" w:space="0" w:color="auto"/>
        <w:left w:val="none" w:sz="0" w:space="0" w:color="auto"/>
        <w:bottom w:val="none" w:sz="0" w:space="0" w:color="auto"/>
        <w:right w:val="none" w:sz="0" w:space="0" w:color="auto"/>
      </w:divBdr>
    </w:div>
    <w:div w:id="427390523">
      <w:bodyDiv w:val="1"/>
      <w:marLeft w:val="0"/>
      <w:marRight w:val="0"/>
      <w:marTop w:val="0"/>
      <w:marBottom w:val="0"/>
      <w:divBdr>
        <w:top w:val="none" w:sz="0" w:space="0" w:color="auto"/>
        <w:left w:val="none" w:sz="0" w:space="0" w:color="auto"/>
        <w:bottom w:val="none" w:sz="0" w:space="0" w:color="auto"/>
        <w:right w:val="none" w:sz="0" w:space="0" w:color="auto"/>
      </w:divBdr>
    </w:div>
    <w:div w:id="513228697">
      <w:bodyDiv w:val="1"/>
      <w:marLeft w:val="0"/>
      <w:marRight w:val="0"/>
      <w:marTop w:val="0"/>
      <w:marBottom w:val="0"/>
      <w:divBdr>
        <w:top w:val="none" w:sz="0" w:space="0" w:color="auto"/>
        <w:left w:val="none" w:sz="0" w:space="0" w:color="auto"/>
        <w:bottom w:val="none" w:sz="0" w:space="0" w:color="auto"/>
        <w:right w:val="none" w:sz="0" w:space="0" w:color="auto"/>
      </w:divBdr>
    </w:div>
    <w:div w:id="1298104178">
      <w:bodyDiv w:val="1"/>
      <w:marLeft w:val="0"/>
      <w:marRight w:val="0"/>
      <w:marTop w:val="0"/>
      <w:marBottom w:val="0"/>
      <w:divBdr>
        <w:top w:val="none" w:sz="0" w:space="0" w:color="auto"/>
        <w:left w:val="none" w:sz="0" w:space="0" w:color="auto"/>
        <w:bottom w:val="none" w:sz="0" w:space="0" w:color="auto"/>
        <w:right w:val="none" w:sz="0" w:space="0" w:color="auto"/>
      </w:divBdr>
    </w:div>
    <w:div w:id="1494908677">
      <w:bodyDiv w:val="1"/>
      <w:marLeft w:val="0"/>
      <w:marRight w:val="0"/>
      <w:marTop w:val="0"/>
      <w:marBottom w:val="0"/>
      <w:divBdr>
        <w:top w:val="none" w:sz="0" w:space="0" w:color="auto"/>
        <w:left w:val="none" w:sz="0" w:space="0" w:color="auto"/>
        <w:bottom w:val="none" w:sz="0" w:space="0" w:color="auto"/>
        <w:right w:val="none" w:sz="0" w:space="0" w:color="auto"/>
      </w:divBdr>
    </w:div>
    <w:div w:id="1529637984">
      <w:bodyDiv w:val="1"/>
      <w:marLeft w:val="0"/>
      <w:marRight w:val="0"/>
      <w:marTop w:val="0"/>
      <w:marBottom w:val="2250"/>
      <w:divBdr>
        <w:top w:val="none" w:sz="0" w:space="0" w:color="auto"/>
        <w:left w:val="none" w:sz="0" w:space="0" w:color="auto"/>
        <w:bottom w:val="none" w:sz="0" w:space="0" w:color="auto"/>
        <w:right w:val="none" w:sz="0" w:space="0" w:color="auto"/>
      </w:divBdr>
      <w:divsChild>
        <w:div w:id="1340161541">
          <w:marLeft w:val="0"/>
          <w:marRight w:val="0"/>
          <w:marTop w:val="0"/>
          <w:marBottom w:val="0"/>
          <w:divBdr>
            <w:top w:val="none" w:sz="0" w:space="0" w:color="auto"/>
            <w:left w:val="none" w:sz="0" w:space="0" w:color="auto"/>
            <w:bottom w:val="none" w:sz="0" w:space="0" w:color="auto"/>
            <w:right w:val="none" w:sz="0" w:space="0" w:color="auto"/>
          </w:divBdr>
          <w:divsChild>
            <w:div w:id="12659460">
              <w:marLeft w:val="0"/>
              <w:marRight w:val="0"/>
              <w:marTop w:val="0"/>
              <w:marBottom w:val="0"/>
              <w:divBdr>
                <w:top w:val="none" w:sz="0" w:space="0" w:color="auto"/>
                <w:left w:val="none" w:sz="0" w:space="0" w:color="auto"/>
                <w:bottom w:val="none" w:sz="0" w:space="0" w:color="auto"/>
                <w:right w:val="none" w:sz="0" w:space="0" w:color="auto"/>
              </w:divBdr>
              <w:divsChild>
                <w:div w:id="10100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3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2018-04-17T11:33:00Z</cp:lastPrinted>
  <dcterms:created xsi:type="dcterms:W3CDTF">2018-05-10T11:14:00Z</dcterms:created>
  <dcterms:modified xsi:type="dcterms:W3CDTF">2018-05-10T11:14:00Z</dcterms:modified>
</cp:coreProperties>
</file>