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6B5" w:rsidRDefault="00190EF9" w:rsidP="00027F0A">
      <w:pPr>
        <w:spacing w:after="0" w:line="360" w:lineRule="auto"/>
        <w:jc w:val="center"/>
        <w:rPr>
          <w:b/>
        </w:rPr>
      </w:pPr>
      <w:bookmarkStart w:id="0" w:name="_GoBack"/>
      <w:bookmarkEnd w:id="0"/>
      <w:r w:rsidRPr="00027F0A">
        <w:rPr>
          <w:noProof/>
          <w:lang w:eastAsia="en-IE"/>
        </w:rPr>
        <w:drawing>
          <wp:inline distT="0" distB="0" distL="0" distR="0" wp14:anchorId="1136886B" wp14:editId="741C288A">
            <wp:extent cx="1857375" cy="1884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656" cy="1936725"/>
                    </a:xfrm>
                    <a:prstGeom prst="rect">
                      <a:avLst/>
                    </a:prstGeom>
                  </pic:spPr>
                </pic:pic>
              </a:graphicData>
            </a:graphic>
          </wp:inline>
        </w:drawing>
      </w:r>
    </w:p>
    <w:p w:rsidR="00B34BFF" w:rsidRPr="00027F0A" w:rsidRDefault="00B34BFF" w:rsidP="00027F0A">
      <w:pPr>
        <w:spacing w:after="0" w:line="360" w:lineRule="auto"/>
        <w:jc w:val="center"/>
        <w:rPr>
          <w:b/>
        </w:rPr>
      </w:pPr>
    </w:p>
    <w:p w:rsidR="00A12494" w:rsidRPr="00DE3F34" w:rsidRDefault="00380F48" w:rsidP="00380F48">
      <w:pPr>
        <w:spacing w:after="0" w:line="360" w:lineRule="auto"/>
        <w:jc w:val="center"/>
        <w:rPr>
          <w:b/>
        </w:rPr>
      </w:pPr>
      <w:r>
        <w:rPr>
          <w:b/>
        </w:rPr>
        <w:t>Opening Statement to the J</w:t>
      </w:r>
      <w:r w:rsidR="00B01995" w:rsidRPr="00DE3F34">
        <w:rPr>
          <w:b/>
        </w:rPr>
        <w:t xml:space="preserve">oint Oireachtas Committee on </w:t>
      </w:r>
      <w:r w:rsidR="00C63DCB">
        <w:rPr>
          <w:b/>
        </w:rPr>
        <w:t>Children and Youth Affairs</w:t>
      </w:r>
      <w:r w:rsidR="0031492A" w:rsidRPr="00DE3F34">
        <w:rPr>
          <w:b/>
        </w:rPr>
        <w:t xml:space="preserve"> </w:t>
      </w:r>
      <w:r w:rsidR="00B01995" w:rsidRPr="00DE3F34">
        <w:rPr>
          <w:b/>
        </w:rPr>
        <w:t xml:space="preserve">regarding </w:t>
      </w:r>
      <w:r w:rsidR="00FE2E15" w:rsidRPr="00FE2E15">
        <w:rPr>
          <w:b/>
        </w:rPr>
        <w:t xml:space="preserve">the </w:t>
      </w:r>
      <w:r w:rsidR="00C63DCB">
        <w:rPr>
          <w:b/>
        </w:rPr>
        <w:t>tackling of childhood obesity</w:t>
      </w:r>
      <w:r w:rsidR="00FE2E15">
        <w:rPr>
          <w:b/>
        </w:rPr>
        <w:t xml:space="preserve"> </w:t>
      </w:r>
      <w:r w:rsidR="00A12494" w:rsidRPr="00DE3F34">
        <w:rPr>
          <w:b/>
        </w:rPr>
        <w:t>(</w:t>
      </w:r>
      <w:r>
        <w:rPr>
          <w:b/>
        </w:rPr>
        <w:t>May 1</w:t>
      </w:r>
      <w:r w:rsidR="00C63DCB">
        <w:rPr>
          <w:b/>
        </w:rPr>
        <w:t>6th</w:t>
      </w:r>
      <w:r w:rsidR="00FE2E15">
        <w:rPr>
          <w:b/>
        </w:rPr>
        <w:t xml:space="preserve"> </w:t>
      </w:r>
      <w:r w:rsidR="00A21BD2" w:rsidRPr="00DE3F34">
        <w:rPr>
          <w:b/>
        </w:rPr>
        <w:t>2018</w:t>
      </w:r>
      <w:r w:rsidR="00A12494" w:rsidRPr="00DE3F34">
        <w:rPr>
          <w:b/>
        </w:rPr>
        <w:t>)</w:t>
      </w:r>
    </w:p>
    <w:p w:rsidR="007A5F18" w:rsidRPr="00DE3F34" w:rsidRDefault="007A5F18" w:rsidP="00DE3F34">
      <w:pPr>
        <w:spacing w:after="0" w:line="360" w:lineRule="auto"/>
        <w:jc w:val="center"/>
        <w:rPr>
          <w:b/>
        </w:rPr>
      </w:pPr>
    </w:p>
    <w:p w:rsidR="00535981" w:rsidRPr="004938B8" w:rsidRDefault="00AC32F0" w:rsidP="00DE3F34">
      <w:pPr>
        <w:spacing w:after="0" w:line="360" w:lineRule="auto"/>
        <w:rPr>
          <w:b/>
          <w:u w:val="single"/>
        </w:rPr>
      </w:pPr>
      <w:r w:rsidRPr="004938B8">
        <w:rPr>
          <w:b/>
          <w:u w:val="single"/>
        </w:rPr>
        <w:t>Introduction</w:t>
      </w:r>
    </w:p>
    <w:p w:rsidR="004F1A3F" w:rsidRPr="004938B8" w:rsidRDefault="004F1A3F" w:rsidP="00DE3F34">
      <w:pPr>
        <w:spacing w:after="0" w:line="360" w:lineRule="auto"/>
      </w:pPr>
      <w:r w:rsidRPr="004938B8">
        <w:t xml:space="preserve">The TUI </w:t>
      </w:r>
      <w:r w:rsidR="00A55235" w:rsidRPr="004938B8">
        <w:t>would like to thank the committee for</w:t>
      </w:r>
      <w:r w:rsidRPr="004938B8">
        <w:t xml:space="preserve"> this opportunity to</w:t>
      </w:r>
      <w:r w:rsidR="00EC30FD" w:rsidRPr="004938B8">
        <w:t xml:space="preserve"> </w:t>
      </w:r>
      <w:r w:rsidR="00A21BD2" w:rsidRPr="004938B8">
        <w:t>make a submission</w:t>
      </w:r>
      <w:r w:rsidR="00CF7279" w:rsidRPr="004938B8">
        <w:t xml:space="preserve"> on</w:t>
      </w:r>
      <w:r w:rsidR="00A21BD2" w:rsidRPr="004938B8">
        <w:t xml:space="preserve"> </w:t>
      </w:r>
      <w:r w:rsidR="00FE2E15" w:rsidRPr="004938B8">
        <w:t xml:space="preserve">the </w:t>
      </w:r>
      <w:r w:rsidR="00C63DCB" w:rsidRPr="004938B8">
        <w:t>topic of tackling childhood obesity</w:t>
      </w:r>
      <w:r w:rsidRPr="004938B8">
        <w:t>.</w:t>
      </w:r>
      <w:r w:rsidR="00A21BD2" w:rsidRPr="004938B8">
        <w:t xml:space="preserve">  </w:t>
      </w:r>
    </w:p>
    <w:p w:rsidR="00A55235" w:rsidRPr="004938B8" w:rsidRDefault="00A55235" w:rsidP="00DE3F34">
      <w:pPr>
        <w:autoSpaceDE w:val="0"/>
        <w:autoSpaceDN w:val="0"/>
        <w:adjustRightInd w:val="0"/>
        <w:spacing w:line="360" w:lineRule="auto"/>
        <w:jc w:val="both"/>
        <w:rPr>
          <w:rFonts w:eastAsiaTheme="majorEastAsia" w:cstheme="majorBidi"/>
          <w:bCs/>
        </w:rPr>
      </w:pPr>
    </w:p>
    <w:p w:rsidR="00CE2325" w:rsidRPr="004938B8" w:rsidRDefault="00345353" w:rsidP="00DE3F34">
      <w:pPr>
        <w:spacing w:after="0" w:line="360" w:lineRule="auto"/>
        <w:jc w:val="both"/>
        <w:rPr>
          <w:b/>
          <w:u w:val="single"/>
        </w:rPr>
      </w:pPr>
      <w:r w:rsidRPr="004938B8">
        <w:rPr>
          <w:b/>
          <w:u w:val="single"/>
        </w:rPr>
        <w:t xml:space="preserve">View of </w:t>
      </w:r>
      <w:r w:rsidR="00866335" w:rsidRPr="004938B8">
        <w:rPr>
          <w:b/>
          <w:u w:val="single"/>
        </w:rPr>
        <w:t xml:space="preserve">the </w:t>
      </w:r>
      <w:r w:rsidRPr="004938B8">
        <w:rPr>
          <w:b/>
          <w:u w:val="single"/>
        </w:rPr>
        <w:t>TUI</w:t>
      </w:r>
    </w:p>
    <w:p w:rsidR="00866335" w:rsidRPr="004938B8" w:rsidRDefault="00D91A1D" w:rsidP="00DE3F34">
      <w:pPr>
        <w:spacing w:after="0" w:line="360" w:lineRule="auto"/>
        <w:jc w:val="both"/>
      </w:pPr>
      <w:r>
        <w:t>The</w:t>
      </w:r>
      <w:r w:rsidR="00A76204" w:rsidRPr="004938B8">
        <w:t xml:space="preserve"> health of young people is a </w:t>
      </w:r>
      <w:r>
        <w:t>critical</w:t>
      </w:r>
      <w:r w:rsidR="00A76204" w:rsidRPr="004938B8">
        <w:t xml:space="preserve"> matter for society as a whole</w:t>
      </w:r>
      <w:r>
        <w:t>,</w:t>
      </w:r>
      <w:r w:rsidR="00A76204" w:rsidRPr="004938B8">
        <w:t xml:space="preserve"> as well as for the health and education </w:t>
      </w:r>
      <w:r w:rsidR="00970F0D">
        <w:t>sector</w:t>
      </w:r>
      <w:r w:rsidR="00A76204" w:rsidRPr="004938B8">
        <w:t>s.  I</w:t>
      </w:r>
      <w:r>
        <w:t>n this regard, childhood obesity</w:t>
      </w:r>
      <w:r w:rsidR="00A76204" w:rsidRPr="004938B8">
        <w:t xml:space="preserve"> </w:t>
      </w:r>
      <w:r>
        <w:t>is a</w:t>
      </w:r>
      <w:r w:rsidR="00A76204" w:rsidRPr="004938B8">
        <w:t xml:space="preserve"> serious problem as children in Ireland are in the upper-range of being overweight according to a study by NCD Risk Factor Collaboration (Irish Times, October 11</w:t>
      </w:r>
      <w:r w:rsidR="00A76204" w:rsidRPr="004938B8">
        <w:rPr>
          <w:vertAlign w:val="superscript"/>
        </w:rPr>
        <w:t>th</w:t>
      </w:r>
      <w:r w:rsidR="00A76204" w:rsidRPr="004938B8">
        <w:t xml:space="preserve"> 2017)</w:t>
      </w:r>
      <w:r w:rsidR="00A74D1C" w:rsidRPr="004938B8">
        <w:t>.</w:t>
      </w:r>
      <w:r w:rsidR="00A76204" w:rsidRPr="004938B8">
        <w:t xml:space="preserve">  It is clear from the same study that the problem in Ireland is growing rapidly with a nine to ten-fold increase in the number of children in Ireland </w:t>
      </w:r>
      <w:r>
        <w:t>classified as over-weight</w:t>
      </w:r>
      <w:r w:rsidR="00A76204" w:rsidRPr="004938B8">
        <w:t xml:space="preserve"> since 1975.</w:t>
      </w:r>
      <w:r w:rsidR="00A74D1C" w:rsidRPr="004938B8">
        <w:t xml:space="preserve">  </w:t>
      </w:r>
      <w:r w:rsidR="00A76204" w:rsidRPr="004938B8">
        <w:t>Safefood Ireland estimates that one in four</w:t>
      </w:r>
      <w:r>
        <w:t xml:space="preserve"> of</w:t>
      </w:r>
      <w:r w:rsidR="00A76204" w:rsidRPr="004938B8">
        <w:t xml:space="preserve"> children in Ireland </w:t>
      </w:r>
      <w:r>
        <w:t>is</w:t>
      </w:r>
      <w:r w:rsidR="00A76204" w:rsidRPr="004938B8">
        <w:t xml:space="preserve"> either overweight or obese.  </w:t>
      </w:r>
      <w:r w:rsidR="001B63C4" w:rsidRPr="004938B8">
        <w:t xml:space="preserve">The rate of obesity internationally in seventeen-year-olds is approximately twenty percent (OECD, 2015).  </w:t>
      </w:r>
      <w:r w:rsidR="00453A87" w:rsidRPr="004938B8">
        <w:t xml:space="preserve">Frighteningly, a quarter of three year olds in Ireland are overweight or obese (CES, 2016).  </w:t>
      </w:r>
      <w:r w:rsidR="001B63C4" w:rsidRPr="004938B8">
        <w:t>Obesity is clearly linked to multiple other health difficulties (</w:t>
      </w:r>
      <w:r w:rsidR="005E192A" w:rsidRPr="004938B8">
        <w:t>OECD, 2014</w:t>
      </w:r>
      <w:r w:rsidR="001B63C4" w:rsidRPr="004938B8">
        <w:t>)</w:t>
      </w:r>
      <w:r>
        <w:t xml:space="preserve"> and to changes over time in life-style</w:t>
      </w:r>
      <w:r w:rsidR="001B63C4" w:rsidRPr="004938B8">
        <w:t xml:space="preserve">.  </w:t>
      </w:r>
      <w:r w:rsidR="000B6FA4" w:rsidRPr="004938B8">
        <w:t>However, i</w:t>
      </w:r>
      <w:r w:rsidR="00A74D1C" w:rsidRPr="004938B8">
        <w:t xml:space="preserve">t is important to make a number of key points in relation to the </w:t>
      </w:r>
      <w:r w:rsidR="00A76204" w:rsidRPr="004938B8">
        <w:t xml:space="preserve">respective roles of the health and education </w:t>
      </w:r>
      <w:r w:rsidR="00970F0D">
        <w:t>sectors</w:t>
      </w:r>
      <w:r w:rsidR="00A76204" w:rsidRPr="004938B8">
        <w:t xml:space="preserve"> and of society as a whole</w:t>
      </w:r>
      <w:r w:rsidR="000B6FA4" w:rsidRPr="004938B8">
        <w:t xml:space="preserve">.  </w:t>
      </w:r>
    </w:p>
    <w:p w:rsidR="00866335" w:rsidRPr="004938B8" w:rsidRDefault="00866335" w:rsidP="00DE3F34">
      <w:pPr>
        <w:spacing w:after="0" w:line="360" w:lineRule="auto"/>
        <w:jc w:val="both"/>
      </w:pPr>
    </w:p>
    <w:p w:rsidR="005E192A" w:rsidRPr="004938B8" w:rsidRDefault="00D91A1D" w:rsidP="00DE3F34">
      <w:pPr>
        <w:spacing w:after="0" w:line="360" w:lineRule="auto"/>
        <w:jc w:val="both"/>
        <w:rPr>
          <w:rFonts w:cs="Arial"/>
        </w:rPr>
      </w:pPr>
      <w:r>
        <w:t xml:space="preserve">There appears to be a significant co-relation between childhood obesity and the increasingly sedentary, isolated and on-line recreational patterns of children. These patterns cannot be addressed </w:t>
      </w:r>
      <w:r w:rsidR="00657EE4">
        <w:t xml:space="preserve">or modified </w:t>
      </w:r>
      <w:r>
        <w:t>solely by or through the education system. All</w:t>
      </w:r>
      <w:r w:rsidR="00A76204" w:rsidRPr="004938B8">
        <w:t xml:space="preserve"> of Irish society has </w:t>
      </w:r>
      <w:r w:rsidR="001B63C4" w:rsidRPr="004938B8">
        <w:t>a responsibility to react to this public health problem.  Growing Up in Ireland (2016: 9)</w:t>
      </w:r>
      <w:r>
        <w:t>,</w:t>
      </w:r>
      <w:r w:rsidR="001B63C4" w:rsidRPr="004938B8">
        <w:t xml:space="preserve"> for example</w:t>
      </w:r>
      <w:r>
        <w:t>,</w:t>
      </w:r>
      <w:r w:rsidR="001B63C4" w:rsidRPr="004938B8">
        <w:t xml:space="preserve"> found that “online </w:t>
      </w:r>
      <w:r w:rsidR="001B63C4" w:rsidRPr="004938B8">
        <w:rPr>
          <w:rFonts w:cs="Arial"/>
        </w:rPr>
        <w:t xml:space="preserve">time was significantly higher among 17/18-year-olds who were </w:t>
      </w:r>
      <w:r w:rsidR="001B63C4" w:rsidRPr="004938B8">
        <w:rPr>
          <w:rFonts w:cs="Arial"/>
          <w:i/>
          <w:iCs/>
        </w:rPr>
        <w:t xml:space="preserve">overweight </w:t>
      </w:r>
      <w:r w:rsidR="001B63C4" w:rsidRPr="004938B8">
        <w:rPr>
          <w:rFonts w:cs="Arial"/>
        </w:rPr>
        <w:t xml:space="preserve">or </w:t>
      </w:r>
      <w:r w:rsidR="001B63C4" w:rsidRPr="004938B8">
        <w:rPr>
          <w:rFonts w:cs="Arial"/>
          <w:i/>
          <w:iCs/>
        </w:rPr>
        <w:t>obese</w:t>
      </w:r>
      <w:r w:rsidR="001B63C4" w:rsidRPr="004938B8">
        <w:rPr>
          <w:rFonts w:cs="Arial"/>
        </w:rPr>
        <w:t xml:space="preserve">.”  </w:t>
      </w:r>
      <w:r w:rsidR="005E192A" w:rsidRPr="004938B8">
        <w:rPr>
          <w:rFonts w:cs="Arial"/>
        </w:rPr>
        <w:t xml:space="preserve">Safefood Ireland </w:t>
      </w:r>
      <w:r w:rsidR="005E192A" w:rsidRPr="004938B8">
        <w:rPr>
          <w:rFonts w:cs="Arial"/>
        </w:rPr>
        <w:lastRenderedPageBreak/>
        <w:t>notes that the average amount of time spent by pre-school children watching television each day is 2.2 hours and that the proportion of students walking to school has halved since 1981.</w:t>
      </w:r>
      <w:r w:rsidR="00657EE4">
        <w:rPr>
          <w:rFonts w:cs="Arial"/>
        </w:rPr>
        <w:t xml:space="preserve"> The behaviours reflected in these findings have their origins in the home. Therefore, in the first instance, parents have an over-arching responsibility to safeguard their children’s health and well-being by way of intervening positively to modify these behaviours. </w:t>
      </w:r>
      <w:r w:rsidR="005E192A" w:rsidRPr="004938B8">
        <w:rPr>
          <w:rFonts w:cs="Arial"/>
        </w:rPr>
        <w:t xml:space="preserve">  </w:t>
      </w:r>
    </w:p>
    <w:p w:rsidR="005E192A" w:rsidRPr="004938B8" w:rsidRDefault="005E192A" w:rsidP="00DE3F34">
      <w:pPr>
        <w:spacing w:after="0" w:line="360" w:lineRule="auto"/>
        <w:jc w:val="both"/>
        <w:rPr>
          <w:rFonts w:cs="Arial"/>
        </w:rPr>
      </w:pPr>
    </w:p>
    <w:p w:rsidR="00A77CA0" w:rsidRPr="004938B8" w:rsidRDefault="000B6FA4" w:rsidP="00DE3F34">
      <w:pPr>
        <w:spacing w:after="0" w:line="360" w:lineRule="auto"/>
        <w:jc w:val="both"/>
      </w:pPr>
      <w:r w:rsidRPr="004938B8">
        <w:t>S</w:t>
      </w:r>
      <w:r w:rsidR="00A74D1C" w:rsidRPr="004938B8">
        <w:t>chools</w:t>
      </w:r>
      <w:r w:rsidR="00657EE4">
        <w:t>, of course, also</w:t>
      </w:r>
      <w:r w:rsidR="00A74D1C" w:rsidRPr="004938B8">
        <w:t xml:space="preserve"> have </w:t>
      </w:r>
      <w:r w:rsidR="00380F48" w:rsidRPr="004938B8">
        <w:t xml:space="preserve">a </w:t>
      </w:r>
      <w:r w:rsidR="00A74D1C" w:rsidRPr="004938B8">
        <w:t>responsibility</w:t>
      </w:r>
      <w:r w:rsidR="00657EE4">
        <w:t xml:space="preserve"> – for example by</w:t>
      </w:r>
      <w:r w:rsidR="00A74D1C" w:rsidRPr="004938B8">
        <w:t xml:space="preserve"> </w:t>
      </w:r>
      <w:r w:rsidR="00E66345" w:rsidRPr="004938B8">
        <w:t>delivering the</w:t>
      </w:r>
      <w:r w:rsidR="00657EE4">
        <w:t xml:space="preserve"> appropriate</w:t>
      </w:r>
      <w:r w:rsidR="00A74D1C" w:rsidRPr="004938B8">
        <w:t xml:space="preserve"> </w:t>
      </w:r>
      <w:r w:rsidR="005E192A" w:rsidRPr="004938B8">
        <w:t>PE</w:t>
      </w:r>
      <w:r w:rsidR="00E66345" w:rsidRPr="004938B8">
        <w:t xml:space="preserve"> programme</w:t>
      </w:r>
      <w:r w:rsidR="00657EE4">
        <w:t xml:space="preserve"> to all students. That </w:t>
      </w:r>
      <w:r w:rsidR="005E192A" w:rsidRPr="004938B8">
        <w:t>programme can serve a very useful role as part of society’s response to the childhood obesity problem.  Safefood Ireland recommends that children engage in sixty minutes of physical activity per day.</w:t>
      </w:r>
      <w:r w:rsidR="00A77CA0" w:rsidRPr="004938B8">
        <w:t xml:space="preserve">  Some, but not all, of this can take place in the school setting.  However, schools need to be able to access appropriate physical education facilities in order to support a structured PE programme.  Regrettably, far too many schools do not have access to </w:t>
      </w:r>
      <w:r w:rsidR="00244722" w:rsidRPr="004938B8">
        <w:t xml:space="preserve">adequate PE facilities.  Furthermore, </w:t>
      </w:r>
      <w:r w:rsidR="00A77CA0" w:rsidRPr="004938B8">
        <w:t>many schools are concerned ab</w:t>
      </w:r>
      <w:r w:rsidR="00901392" w:rsidRPr="004938B8">
        <w:t>out a litigious culture in Iris</w:t>
      </w:r>
      <w:r w:rsidR="00A77CA0" w:rsidRPr="004938B8">
        <w:t xml:space="preserve">h society.  Logical but </w:t>
      </w:r>
      <w:r w:rsidR="00657EE4">
        <w:t>regrettable</w:t>
      </w:r>
      <w:r w:rsidR="00A77CA0" w:rsidRPr="004938B8">
        <w:t xml:space="preserve"> responses to that litigious culture include schools being</w:t>
      </w:r>
      <w:r w:rsidR="00657EE4">
        <w:t xml:space="preserve"> so</w:t>
      </w:r>
      <w:r w:rsidR="00A77CA0" w:rsidRPr="004938B8">
        <w:t xml:space="preserve"> concern</w:t>
      </w:r>
      <w:r w:rsidR="00244722" w:rsidRPr="004938B8">
        <w:t>ed</w:t>
      </w:r>
      <w:r w:rsidR="00A77CA0" w:rsidRPr="004938B8">
        <w:t xml:space="preserve"> about accidents in the school yard </w:t>
      </w:r>
      <w:r w:rsidR="00657EE4">
        <w:t>that some</w:t>
      </w:r>
      <w:r w:rsidR="00244722" w:rsidRPr="004938B8">
        <w:t xml:space="preserve"> have instigated </w:t>
      </w:r>
      <w:r w:rsidR="00657EE4">
        <w:t>limitations</w:t>
      </w:r>
      <w:r w:rsidR="00244722" w:rsidRPr="004938B8">
        <w:t xml:space="preserve"> on studen</w:t>
      </w:r>
      <w:r w:rsidR="00A77CA0" w:rsidRPr="004938B8">
        <w:t>ts</w:t>
      </w:r>
      <w:r w:rsidR="00657EE4">
        <w:t>’ physical activities, such as</w:t>
      </w:r>
      <w:r w:rsidR="00A77CA0" w:rsidRPr="004938B8">
        <w:t xml:space="preserve"> running</w:t>
      </w:r>
      <w:r w:rsidR="00657EE4">
        <w:t xml:space="preserve"> </w:t>
      </w:r>
      <w:r w:rsidR="00A77CA0" w:rsidRPr="004938B8">
        <w:t>in the school-yard.</w:t>
      </w:r>
    </w:p>
    <w:p w:rsidR="00A77CA0" w:rsidRPr="004938B8" w:rsidRDefault="00A77CA0" w:rsidP="00DE3F34">
      <w:pPr>
        <w:spacing w:after="0" w:line="360" w:lineRule="auto"/>
        <w:jc w:val="both"/>
      </w:pPr>
    </w:p>
    <w:p w:rsidR="00EC5EC7" w:rsidRPr="004938B8" w:rsidRDefault="00A77CA0" w:rsidP="00DE3F34">
      <w:pPr>
        <w:spacing w:after="0" w:line="360" w:lineRule="auto"/>
        <w:jc w:val="both"/>
      </w:pPr>
      <w:r w:rsidRPr="004938B8">
        <w:t>Fear also creates a societal climate that hinders physical activity for children.  For example, children organising their own play appears to</w:t>
      </w:r>
      <w:r w:rsidR="00244722" w:rsidRPr="004938B8">
        <w:t xml:space="preserve"> have become a rarity.  Furthermore, many parents are conc</w:t>
      </w:r>
      <w:r w:rsidRPr="004938B8">
        <w:t>erned about allowing their children to play unsupervised in the street.  Society must also ex</w:t>
      </w:r>
      <w:r w:rsidR="00244722" w:rsidRPr="004938B8">
        <w:t>a</w:t>
      </w:r>
      <w:r w:rsidRPr="004938B8">
        <w:t xml:space="preserve">mine the fact that obesity </w:t>
      </w:r>
      <w:r w:rsidR="00657EE4">
        <w:t>in some instances constitutes</w:t>
      </w:r>
      <w:r w:rsidRPr="004938B8">
        <w:t xml:space="preserve"> an eating disorder that is symptomatic of an underlying problem regarding greatly diminished self-esteem.  It is therefore </w:t>
      </w:r>
      <w:r w:rsidR="00244722" w:rsidRPr="004938B8">
        <w:t xml:space="preserve">possibly </w:t>
      </w:r>
      <w:r w:rsidRPr="004938B8">
        <w:t xml:space="preserve">a mental health issue as well as a physical health one.  </w:t>
      </w:r>
      <w:r w:rsidR="00EC5EC7" w:rsidRPr="004938B8">
        <w:t xml:space="preserve">A recent radio broadcast in Ireland suggested that a response to childhood obesity would be for schools to regularly weigh children and that teachers may be better-placed than doctors to tell parents that their child is obese.  The TUI would like to state that it finds that suggestion extraordinary and bizarre and that evidence shows that </w:t>
      </w:r>
      <w:r w:rsidR="00901392" w:rsidRPr="004938B8">
        <w:t xml:space="preserve">schools </w:t>
      </w:r>
      <w:r w:rsidR="00EC5EC7" w:rsidRPr="004938B8">
        <w:t>regularly weighing chi</w:t>
      </w:r>
      <w:r w:rsidR="00244722" w:rsidRPr="004938B8">
        <w:t>l</w:t>
      </w:r>
      <w:r w:rsidR="00EC5EC7" w:rsidRPr="004938B8">
        <w:t xml:space="preserve">dren leads to further self-esteem issues for </w:t>
      </w:r>
      <w:r w:rsidR="00901392" w:rsidRPr="004938B8">
        <w:t xml:space="preserve">those </w:t>
      </w:r>
      <w:r w:rsidR="00EC5EC7" w:rsidRPr="004938B8">
        <w:t>children (Guardian, May 4</w:t>
      </w:r>
      <w:r w:rsidR="00EC5EC7" w:rsidRPr="004938B8">
        <w:rPr>
          <w:vertAlign w:val="superscript"/>
        </w:rPr>
        <w:t>th</w:t>
      </w:r>
      <w:r w:rsidR="00EC5EC7" w:rsidRPr="004938B8">
        <w:t xml:space="preserve"> 2018).</w:t>
      </w:r>
    </w:p>
    <w:p w:rsidR="00C0631C" w:rsidRPr="004938B8" w:rsidRDefault="00C0631C" w:rsidP="00DE3F34">
      <w:pPr>
        <w:spacing w:after="0" w:line="360" w:lineRule="auto"/>
        <w:jc w:val="both"/>
      </w:pPr>
    </w:p>
    <w:p w:rsidR="00C0631C" w:rsidRDefault="00C0631C" w:rsidP="00DE3F34">
      <w:pPr>
        <w:spacing w:after="0" w:line="360" w:lineRule="auto"/>
        <w:jc w:val="both"/>
      </w:pPr>
      <w:r w:rsidRPr="004938B8">
        <w:t>Issues such as e</w:t>
      </w:r>
      <w:r w:rsidR="007B534F" w:rsidRPr="004938B8">
        <w:t xml:space="preserve">ating disorders or self-esteem </w:t>
      </w:r>
      <w:r w:rsidRPr="004938B8">
        <w:t>require schools to be able to call upon the ne</w:t>
      </w:r>
      <w:r w:rsidR="00244722" w:rsidRPr="004938B8">
        <w:t>cessary support services.  It is</w:t>
      </w:r>
      <w:r w:rsidRPr="004938B8">
        <w:t xml:space="preserve"> unfortunate that career guidance services for example have been </w:t>
      </w:r>
      <w:r w:rsidR="00970F0D">
        <w:t>reduced</w:t>
      </w:r>
      <w:r w:rsidRPr="004938B8">
        <w:t xml:space="preserve"> over the last decade.  The recent partial restoration is welcome but full restoration of the service is required.  Schools also</w:t>
      </w:r>
      <w:r w:rsidR="00AC2E5F">
        <w:t xml:space="preserve"> need to be in a position to</w:t>
      </w:r>
      <w:r w:rsidRPr="004938B8">
        <w:t xml:space="preserve"> call upon other support services but</w:t>
      </w:r>
      <w:r w:rsidR="00AC2E5F">
        <w:t>, unfortunately,</w:t>
      </w:r>
      <w:r w:rsidRPr="004938B8">
        <w:t xml:space="preserve"> those services have also been under significant pressure recently, despite the best efforts of the staff involved.  </w:t>
      </w:r>
      <w:r w:rsidR="00901392" w:rsidRPr="004938B8">
        <w:t xml:space="preserve">In the event of a student presenting to a school with an eating disorder, the guidance </w:t>
      </w:r>
      <w:r w:rsidR="004938B8" w:rsidRPr="004938B8">
        <w:lastRenderedPageBreak/>
        <w:t xml:space="preserve">counsellor will work with the student but also refer the matter to the relevant general practitioner.  This work and referral can take considerable time out of the guidance allocation and the follow-up also takes considerable time.  </w:t>
      </w:r>
    </w:p>
    <w:p w:rsidR="00AC2E5F" w:rsidRDefault="00AC2E5F" w:rsidP="00DE3F34">
      <w:pPr>
        <w:spacing w:after="0" w:line="360" w:lineRule="auto"/>
        <w:jc w:val="both"/>
      </w:pPr>
    </w:p>
    <w:p w:rsidR="00AC2E5F" w:rsidRPr="004938B8" w:rsidRDefault="00AC2E5F" w:rsidP="00DE3F34">
      <w:pPr>
        <w:spacing w:after="0" w:line="360" w:lineRule="auto"/>
        <w:jc w:val="both"/>
      </w:pPr>
      <w:r>
        <w:t>These are legitimate concerns about the limited participation of students in senior cycle of post primary in PE. On occasion, examination subjects have been prioritised and PE has been desultory in its provision. This limitation must be tackled as there is evidence that those who fall away from physical activity at this crucial time may develop patterns of inactivity that have life-long and detrimental health consequences. School culture need to be informed by a concern for health promoting physical activity.</w:t>
      </w:r>
    </w:p>
    <w:p w:rsidR="00C0631C" w:rsidRPr="004938B8" w:rsidRDefault="00C0631C" w:rsidP="00DE3F34">
      <w:pPr>
        <w:spacing w:after="0" w:line="360" w:lineRule="auto"/>
        <w:jc w:val="both"/>
      </w:pPr>
    </w:p>
    <w:p w:rsidR="00345353" w:rsidRPr="004938B8" w:rsidRDefault="007B534F" w:rsidP="00DE3F34">
      <w:pPr>
        <w:spacing w:after="0" w:line="360" w:lineRule="auto"/>
        <w:jc w:val="both"/>
      </w:pPr>
      <w:r w:rsidRPr="004938B8">
        <w:t>Schools have responsibilities in this area of health education and they carry out their responsibilities to the very best of their abilities, not just in specifi</w:t>
      </w:r>
      <w:r w:rsidR="00901392" w:rsidRPr="004938B8">
        <w:t>c</w:t>
      </w:r>
      <w:r w:rsidRPr="004938B8">
        <w:t xml:space="preserve"> curricular programme</w:t>
      </w:r>
      <w:r w:rsidR="00901392" w:rsidRPr="004938B8">
        <w:t>s like Social, Personal and Heal</w:t>
      </w:r>
      <w:r w:rsidRPr="004938B8">
        <w:t>th Education and PE but also through a whole school approach to healthy living.  However, p</w:t>
      </w:r>
      <w:r w:rsidR="00A74D1C" w:rsidRPr="004938B8">
        <w:t>arents</w:t>
      </w:r>
      <w:r w:rsidR="00E66345" w:rsidRPr="004938B8">
        <w:t>/guardians</w:t>
      </w:r>
      <w:r w:rsidR="00A74D1C" w:rsidRPr="004938B8">
        <w:t xml:space="preserve"> and </w:t>
      </w:r>
      <w:r w:rsidR="00380F48" w:rsidRPr="004938B8">
        <w:t>families clearly have the</w:t>
      </w:r>
      <w:r w:rsidR="00E66345" w:rsidRPr="004938B8">
        <w:t xml:space="preserve"> primary </w:t>
      </w:r>
      <w:r w:rsidR="00A74D1C" w:rsidRPr="004938B8">
        <w:t>responsibility</w:t>
      </w:r>
      <w:r w:rsidR="00E66345" w:rsidRPr="004938B8">
        <w:t xml:space="preserve"> in terms of fostering values and practices in relati</w:t>
      </w:r>
      <w:r w:rsidRPr="004938B8">
        <w:t xml:space="preserve">on to </w:t>
      </w:r>
      <w:r w:rsidR="00E66345" w:rsidRPr="004938B8">
        <w:t>health</w:t>
      </w:r>
      <w:r w:rsidR="00E06088" w:rsidRPr="004938B8">
        <w:t>.</w:t>
      </w:r>
      <w:r w:rsidR="00A74D1C" w:rsidRPr="004938B8">
        <w:t xml:space="preserve">  Indeed, Article 42 the Irish Constitution cites </w:t>
      </w:r>
      <w:r w:rsidR="00866335" w:rsidRPr="004938B8">
        <w:t xml:space="preserve">the </w:t>
      </w:r>
      <w:r w:rsidR="00A74D1C" w:rsidRPr="004938B8">
        <w:t xml:space="preserve">family </w:t>
      </w:r>
      <w:r w:rsidR="00866335" w:rsidRPr="004938B8">
        <w:t>unit as the ‘primary educator</w:t>
      </w:r>
      <w:r w:rsidR="00A74D1C" w:rsidRPr="004938B8">
        <w:t xml:space="preserve">’.  </w:t>
      </w:r>
    </w:p>
    <w:p w:rsidR="00A74D1C" w:rsidRPr="004938B8" w:rsidRDefault="00A74D1C" w:rsidP="00DE3F34">
      <w:pPr>
        <w:spacing w:after="0" w:line="360" w:lineRule="auto"/>
        <w:jc w:val="both"/>
      </w:pPr>
    </w:p>
    <w:p w:rsidR="00697512" w:rsidRPr="004938B8" w:rsidRDefault="00697512" w:rsidP="00DE3F34">
      <w:pPr>
        <w:spacing w:after="0" w:line="360" w:lineRule="auto"/>
        <w:jc w:val="both"/>
      </w:pPr>
    </w:p>
    <w:p w:rsidR="00697512" w:rsidRPr="004938B8" w:rsidRDefault="00697512" w:rsidP="00DE3F34">
      <w:pPr>
        <w:spacing w:after="0" w:line="360" w:lineRule="auto"/>
        <w:jc w:val="both"/>
        <w:rPr>
          <w:b/>
          <w:u w:val="single"/>
        </w:rPr>
      </w:pPr>
      <w:r w:rsidRPr="004938B8">
        <w:rPr>
          <w:b/>
          <w:u w:val="single"/>
        </w:rPr>
        <w:t>Conclusion</w:t>
      </w:r>
    </w:p>
    <w:p w:rsidR="00AC7020" w:rsidRPr="004938B8" w:rsidRDefault="00697512" w:rsidP="00697512">
      <w:pPr>
        <w:spacing w:after="0" w:line="360" w:lineRule="auto"/>
        <w:jc w:val="both"/>
      </w:pPr>
      <w:r w:rsidRPr="004938B8">
        <w:t xml:space="preserve"> The TUI would like again to thank the Committee for this opportunity to make a submission</w:t>
      </w:r>
      <w:r w:rsidR="005C74F8" w:rsidRPr="004938B8">
        <w:t>, and would of course welcome any questions that you may have</w:t>
      </w:r>
      <w:r w:rsidRPr="004938B8">
        <w:t xml:space="preserve">.  The </w:t>
      </w:r>
      <w:r w:rsidR="007B534F" w:rsidRPr="004938B8">
        <w:t>problem of childhood obesity worries the TUI</w:t>
      </w:r>
      <w:r w:rsidR="00AC2E5F">
        <w:t xml:space="preserve"> and its members</w:t>
      </w:r>
      <w:r w:rsidR="007B534F" w:rsidRPr="004938B8">
        <w:t xml:space="preserve"> deeply</w:t>
      </w:r>
      <w:r w:rsidRPr="004938B8">
        <w:t>.  Schools have an important role to play in the area but responsibilities also fall to parents, communities</w:t>
      </w:r>
      <w:r w:rsidR="007B534F" w:rsidRPr="004938B8">
        <w:t>, the health system</w:t>
      </w:r>
      <w:r w:rsidRPr="004938B8">
        <w:t xml:space="preserve"> and </w:t>
      </w:r>
      <w:r w:rsidR="007B534F" w:rsidRPr="004938B8">
        <w:t>a number of government departments</w:t>
      </w:r>
      <w:r w:rsidRPr="004938B8">
        <w:t>.</w:t>
      </w:r>
      <w:r w:rsidR="00AC7020" w:rsidRPr="004938B8">
        <w:t xml:space="preserve">  The </w:t>
      </w:r>
      <w:r w:rsidR="00397A0A" w:rsidRPr="004938B8">
        <w:t xml:space="preserve">great </w:t>
      </w:r>
      <w:r w:rsidR="005C74F8" w:rsidRPr="004938B8">
        <w:t>American educationalist</w:t>
      </w:r>
      <w:r w:rsidR="00397A0A" w:rsidRPr="004938B8">
        <w:t xml:space="preserve"> Larr</w:t>
      </w:r>
      <w:r w:rsidR="00AC7020" w:rsidRPr="004938B8">
        <w:t xml:space="preserve">y Cuban once said that “when society gets an itch schools get scratched”.  Schools have responsibilities </w:t>
      </w:r>
      <w:r w:rsidR="00397A0A" w:rsidRPr="004938B8">
        <w:t xml:space="preserve">but </w:t>
      </w:r>
      <w:r w:rsidR="00AC7020" w:rsidRPr="004938B8">
        <w:t xml:space="preserve">so too does society.  Schools are neither the cause of all societal problems nor the solution to all </w:t>
      </w:r>
      <w:r w:rsidR="00397A0A" w:rsidRPr="004938B8">
        <w:t xml:space="preserve">of </w:t>
      </w:r>
      <w:r w:rsidR="00AC7020" w:rsidRPr="004938B8">
        <w:t>society’s ills</w:t>
      </w:r>
      <w:r w:rsidR="00397A0A" w:rsidRPr="004938B8">
        <w:t>.</w:t>
      </w:r>
      <w:r w:rsidR="005C74F8" w:rsidRPr="004938B8">
        <w:t xml:space="preserve">  Thank you.</w:t>
      </w:r>
    </w:p>
    <w:p w:rsidR="001B63C4" w:rsidRPr="004938B8" w:rsidRDefault="001B63C4" w:rsidP="00DE3F34">
      <w:pPr>
        <w:spacing w:after="0" w:line="360" w:lineRule="auto"/>
        <w:jc w:val="both"/>
        <w:rPr>
          <w:rFonts w:cs="Arial"/>
        </w:rPr>
      </w:pPr>
    </w:p>
    <w:p w:rsidR="004938B8" w:rsidRPr="004938B8" w:rsidRDefault="004938B8" w:rsidP="00DE3F34">
      <w:pPr>
        <w:spacing w:after="0" w:line="360" w:lineRule="auto"/>
        <w:jc w:val="both"/>
        <w:rPr>
          <w:rFonts w:cs="Arial"/>
          <w:b/>
          <w:u w:val="single"/>
        </w:rPr>
      </w:pPr>
    </w:p>
    <w:p w:rsidR="001B63C4" w:rsidRPr="004938B8" w:rsidRDefault="001B63C4" w:rsidP="00DE3F34">
      <w:pPr>
        <w:spacing w:after="0" w:line="360" w:lineRule="auto"/>
        <w:jc w:val="both"/>
        <w:rPr>
          <w:rFonts w:cs="Arial"/>
          <w:b/>
          <w:u w:val="single"/>
        </w:rPr>
      </w:pPr>
      <w:r w:rsidRPr="004938B8">
        <w:rPr>
          <w:rFonts w:cs="Arial"/>
          <w:b/>
          <w:u w:val="single"/>
        </w:rPr>
        <w:t>References</w:t>
      </w:r>
    </w:p>
    <w:p w:rsidR="004938B8" w:rsidRPr="004938B8" w:rsidRDefault="004938B8" w:rsidP="004938B8">
      <w:pPr>
        <w:spacing w:after="0" w:line="360" w:lineRule="auto"/>
        <w:jc w:val="both"/>
        <w:rPr>
          <w:rFonts w:cs="Arial"/>
          <w:bCs/>
        </w:rPr>
      </w:pPr>
      <w:r w:rsidRPr="004938B8">
        <w:rPr>
          <w:rFonts w:cs="Arial"/>
          <w:bCs/>
        </w:rPr>
        <w:t xml:space="preserve">CES (2016), </w:t>
      </w:r>
      <w:r w:rsidRPr="004938B8">
        <w:rPr>
          <w:rFonts w:cs="Arial"/>
          <w:bCs/>
          <w:i/>
        </w:rPr>
        <w:t>Improving Health and Wellbeing Outcomes in the Early Years</w:t>
      </w:r>
      <w:r w:rsidRPr="004938B8">
        <w:rPr>
          <w:rFonts w:cs="Arial"/>
          <w:bCs/>
        </w:rPr>
        <w:t>, Dublin: Centre for Effective Services</w:t>
      </w:r>
    </w:p>
    <w:p w:rsidR="004938B8" w:rsidRPr="004938B8" w:rsidRDefault="004938B8" w:rsidP="004938B8">
      <w:pPr>
        <w:spacing w:after="0" w:line="360" w:lineRule="auto"/>
        <w:jc w:val="both"/>
        <w:rPr>
          <w:rFonts w:cs="Arial"/>
        </w:rPr>
      </w:pPr>
      <w:r w:rsidRPr="004938B8">
        <w:rPr>
          <w:rFonts w:cs="Arial"/>
        </w:rPr>
        <w:t xml:space="preserve">Growing Up in Ireland (2016), </w:t>
      </w:r>
      <w:r w:rsidRPr="004938B8">
        <w:rPr>
          <w:rFonts w:cs="Arial"/>
          <w:i/>
        </w:rPr>
        <w:t>Key Findings: Child Cohort at 17/18 Years, Health, weight, physical activity and diet</w:t>
      </w:r>
      <w:r w:rsidRPr="004938B8">
        <w:rPr>
          <w:rFonts w:cs="Arial"/>
        </w:rPr>
        <w:t>, Dublin: Economic and Social Research Institute</w:t>
      </w:r>
    </w:p>
    <w:p w:rsidR="004938B8" w:rsidRPr="004938B8" w:rsidRDefault="004938B8" w:rsidP="004938B8">
      <w:pPr>
        <w:spacing w:after="0" w:line="360" w:lineRule="auto"/>
        <w:jc w:val="both"/>
        <w:rPr>
          <w:rFonts w:cs="Arial"/>
          <w:bCs/>
        </w:rPr>
      </w:pPr>
      <w:r w:rsidRPr="004938B8">
        <w:rPr>
          <w:rFonts w:cs="Arial"/>
          <w:bCs/>
        </w:rPr>
        <w:lastRenderedPageBreak/>
        <w:t xml:space="preserve">OECD (2014), </w:t>
      </w:r>
      <w:r w:rsidRPr="004938B8">
        <w:rPr>
          <w:rFonts w:cs="Arial"/>
          <w:bCs/>
          <w:i/>
        </w:rPr>
        <w:t>Obesity Update</w:t>
      </w:r>
      <w:r w:rsidRPr="004938B8">
        <w:rPr>
          <w:rFonts w:cs="Arial"/>
          <w:bCs/>
        </w:rPr>
        <w:t>, Paris: OECD Publishing</w:t>
      </w:r>
    </w:p>
    <w:p w:rsidR="001B63C4" w:rsidRPr="004938B8" w:rsidRDefault="001B63C4" w:rsidP="00DE3F34">
      <w:pPr>
        <w:spacing w:after="0" w:line="360" w:lineRule="auto"/>
        <w:jc w:val="both"/>
        <w:rPr>
          <w:rFonts w:cs="Arial"/>
        </w:rPr>
      </w:pPr>
      <w:r w:rsidRPr="004938B8">
        <w:rPr>
          <w:rFonts w:cs="Arial"/>
        </w:rPr>
        <w:t xml:space="preserve">OECD (2015), </w:t>
      </w:r>
      <w:r w:rsidRPr="004938B8">
        <w:rPr>
          <w:rFonts w:cs="Arial"/>
          <w:i/>
        </w:rPr>
        <w:t>Skills for Social Progress: The Power of Social and Emotional Skills</w:t>
      </w:r>
      <w:r w:rsidRPr="004938B8">
        <w:rPr>
          <w:rFonts w:cs="Arial"/>
        </w:rPr>
        <w:t>, OECD Skills Studies, OECD Publishing</w:t>
      </w:r>
    </w:p>
    <w:sectPr w:rsidR="001B63C4" w:rsidRPr="004938B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C82" w:rsidRDefault="00EF2C82" w:rsidP="0084145C">
      <w:pPr>
        <w:spacing w:after="0" w:line="240" w:lineRule="auto"/>
      </w:pPr>
      <w:r>
        <w:separator/>
      </w:r>
    </w:p>
  </w:endnote>
  <w:endnote w:type="continuationSeparator" w:id="0">
    <w:p w:rsidR="00EF2C82" w:rsidRDefault="00EF2C82"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989662"/>
      <w:docPartObj>
        <w:docPartGallery w:val="Page Numbers (Bottom of Page)"/>
        <w:docPartUnique/>
      </w:docPartObj>
    </w:sdtPr>
    <w:sdtEndPr>
      <w:rPr>
        <w:noProof/>
      </w:rPr>
    </w:sdtEndPr>
    <w:sdtContent>
      <w:p w:rsidR="00C0631C" w:rsidRDefault="00C0631C">
        <w:pPr>
          <w:pStyle w:val="Footer"/>
          <w:jc w:val="right"/>
        </w:pPr>
        <w:r>
          <w:fldChar w:fldCharType="begin"/>
        </w:r>
        <w:r>
          <w:instrText xml:space="preserve"> PAGE   \* MERGEFORMAT </w:instrText>
        </w:r>
        <w:r>
          <w:fldChar w:fldCharType="separate"/>
        </w:r>
        <w:r w:rsidR="0011479F">
          <w:rPr>
            <w:noProof/>
          </w:rPr>
          <w:t>1</w:t>
        </w:r>
        <w:r>
          <w:rPr>
            <w:noProof/>
          </w:rPr>
          <w:fldChar w:fldCharType="end"/>
        </w:r>
      </w:p>
    </w:sdtContent>
  </w:sdt>
  <w:p w:rsidR="00C0631C" w:rsidRDefault="00C06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C82" w:rsidRDefault="00EF2C82" w:rsidP="0084145C">
      <w:pPr>
        <w:spacing w:after="0" w:line="240" w:lineRule="auto"/>
      </w:pPr>
      <w:r>
        <w:separator/>
      </w:r>
    </w:p>
  </w:footnote>
  <w:footnote w:type="continuationSeparator" w:id="0">
    <w:p w:rsidR="00EF2C82" w:rsidRDefault="00EF2C82" w:rsidP="0084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771"/>
    <w:multiLevelType w:val="hybridMultilevel"/>
    <w:tmpl w:val="467E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13534"/>
    <w:multiLevelType w:val="hybridMultilevel"/>
    <w:tmpl w:val="7368C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78D3A5A"/>
    <w:multiLevelType w:val="multilevel"/>
    <w:tmpl w:val="B4A4A9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677EE7"/>
    <w:multiLevelType w:val="hybridMultilevel"/>
    <w:tmpl w:val="5CBAE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B328F0"/>
    <w:multiLevelType w:val="multilevel"/>
    <w:tmpl w:val="5BAC38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4E448D"/>
    <w:multiLevelType w:val="multilevel"/>
    <w:tmpl w:val="10F29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BE20E62"/>
    <w:multiLevelType w:val="multilevel"/>
    <w:tmpl w:val="D8B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E0205C"/>
    <w:multiLevelType w:val="hybridMultilevel"/>
    <w:tmpl w:val="3040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2738DE"/>
    <w:multiLevelType w:val="hybridMultilevel"/>
    <w:tmpl w:val="D75A2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2933F67"/>
    <w:multiLevelType w:val="hybridMultilevel"/>
    <w:tmpl w:val="A4C6EB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7"/>
  </w:num>
  <w:num w:numId="5">
    <w:abstractNumId w:val="14"/>
  </w:num>
  <w:num w:numId="6">
    <w:abstractNumId w:val="1"/>
  </w:num>
  <w:num w:numId="7">
    <w:abstractNumId w:val="7"/>
  </w:num>
  <w:num w:numId="8">
    <w:abstractNumId w:val="13"/>
  </w:num>
  <w:num w:numId="9">
    <w:abstractNumId w:val="11"/>
  </w:num>
  <w:num w:numId="10">
    <w:abstractNumId w:val="20"/>
  </w:num>
  <w:num w:numId="11">
    <w:abstractNumId w:val="12"/>
  </w:num>
  <w:num w:numId="12">
    <w:abstractNumId w:val="0"/>
  </w:num>
  <w:num w:numId="13">
    <w:abstractNumId w:val="16"/>
  </w:num>
  <w:num w:numId="14">
    <w:abstractNumId w:val="4"/>
  </w:num>
  <w:num w:numId="15">
    <w:abstractNumId w:val="2"/>
  </w:num>
  <w:num w:numId="16">
    <w:abstractNumId w:val="19"/>
  </w:num>
  <w:num w:numId="17">
    <w:abstractNumId w:val="10"/>
  </w:num>
  <w:num w:numId="18">
    <w:abstractNumId w:val="5"/>
  </w:num>
  <w:num w:numId="19">
    <w:abstractNumId w:val="6"/>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15A06"/>
    <w:rsid w:val="00017F05"/>
    <w:rsid w:val="00020DB4"/>
    <w:rsid w:val="00021C7B"/>
    <w:rsid w:val="00023BC3"/>
    <w:rsid w:val="00027F0A"/>
    <w:rsid w:val="00030807"/>
    <w:rsid w:val="000402FD"/>
    <w:rsid w:val="000449A9"/>
    <w:rsid w:val="000478ED"/>
    <w:rsid w:val="00050223"/>
    <w:rsid w:val="00083833"/>
    <w:rsid w:val="000A32E3"/>
    <w:rsid w:val="000A6F33"/>
    <w:rsid w:val="000B120C"/>
    <w:rsid w:val="000B6D1B"/>
    <w:rsid w:val="000B6FA4"/>
    <w:rsid w:val="000C09F6"/>
    <w:rsid w:val="000C2063"/>
    <w:rsid w:val="000D1B84"/>
    <w:rsid w:val="000D78D5"/>
    <w:rsid w:val="000E22A7"/>
    <w:rsid w:val="000E49FC"/>
    <w:rsid w:val="000F3170"/>
    <w:rsid w:val="000F52B2"/>
    <w:rsid w:val="001036F9"/>
    <w:rsid w:val="0010428C"/>
    <w:rsid w:val="0011479F"/>
    <w:rsid w:val="00123F17"/>
    <w:rsid w:val="00131A0C"/>
    <w:rsid w:val="001456A9"/>
    <w:rsid w:val="00146738"/>
    <w:rsid w:val="001522ED"/>
    <w:rsid w:val="001674FA"/>
    <w:rsid w:val="001757CF"/>
    <w:rsid w:val="0018717F"/>
    <w:rsid w:val="00190EF9"/>
    <w:rsid w:val="00192003"/>
    <w:rsid w:val="0019362F"/>
    <w:rsid w:val="00194340"/>
    <w:rsid w:val="00197292"/>
    <w:rsid w:val="001A0ED8"/>
    <w:rsid w:val="001A568E"/>
    <w:rsid w:val="001A6DAB"/>
    <w:rsid w:val="001B63C4"/>
    <w:rsid w:val="001C4AAE"/>
    <w:rsid w:val="001D412D"/>
    <w:rsid w:val="001D54F1"/>
    <w:rsid w:val="001F538B"/>
    <w:rsid w:val="001F67A6"/>
    <w:rsid w:val="00225FFB"/>
    <w:rsid w:val="00230828"/>
    <w:rsid w:val="00231D02"/>
    <w:rsid w:val="002441BD"/>
    <w:rsid w:val="00244472"/>
    <w:rsid w:val="00244722"/>
    <w:rsid w:val="0024520B"/>
    <w:rsid w:val="00246EE2"/>
    <w:rsid w:val="00251BA4"/>
    <w:rsid w:val="00261757"/>
    <w:rsid w:val="00261D19"/>
    <w:rsid w:val="00264A89"/>
    <w:rsid w:val="0027542B"/>
    <w:rsid w:val="00280F55"/>
    <w:rsid w:val="0028235C"/>
    <w:rsid w:val="00282CA3"/>
    <w:rsid w:val="00290384"/>
    <w:rsid w:val="00293524"/>
    <w:rsid w:val="00296F39"/>
    <w:rsid w:val="002A4C09"/>
    <w:rsid w:val="002A569F"/>
    <w:rsid w:val="002B16C3"/>
    <w:rsid w:val="002B2B58"/>
    <w:rsid w:val="002B3562"/>
    <w:rsid w:val="002B50B8"/>
    <w:rsid w:val="002D6B85"/>
    <w:rsid w:val="002E13B8"/>
    <w:rsid w:val="002E490F"/>
    <w:rsid w:val="002E553B"/>
    <w:rsid w:val="002F2AD1"/>
    <w:rsid w:val="00307FF5"/>
    <w:rsid w:val="00311F72"/>
    <w:rsid w:val="0031492A"/>
    <w:rsid w:val="00324B70"/>
    <w:rsid w:val="00342A57"/>
    <w:rsid w:val="00345353"/>
    <w:rsid w:val="003500DD"/>
    <w:rsid w:val="003505F9"/>
    <w:rsid w:val="00366017"/>
    <w:rsid w:val="003662F4"/>
    <w:rsid w:val="003662FD"/>
    <w:rsid w:val="00366E5C"/>
    <w:rsid w:val="00367268"/>
    <w:rsid w:val="003735FE"/>
    <w:rsid w:val="00373B48"/>
    <w:rsid w:val="00377B55"/>
    <w:rsid w:val="00380F48"/>
    <w:rsid w:val="00386B3F"/>
    <w:rsid w:val="00397A0A"/>
    <w:rsid w:val="003A3A98"/>
    <w:rsid w:val="003A3C5D"/>
    <w:rsid w:val="003A69DE"/>
    <w:rsid w:val="003B07B6"/>
    <w:rsid w:val="003C18DB"/>
    <w:rsid w:val="003C5798"/>
    <w:rsid w:val="003C7AE0"/>
    <w:rsid w:val="003D29AE"/>
    <w:rsid w:val="003D4A25"/>
    <w:rsid w:val="003D570A"/>
    <w:rsid w:val="003E72AD"/>
    <w:rsid w:val="003F14EB"/>
    <w:rsid w:val="00406327"/>
    <w:rsid w:val="0041104C"/>
    <w:rsid w:val="0042135E"/>
    <w:rsid w:val="004304DC"/>
    <w:rsid w:val="004341CF"/>
    <w:rsid w:val="00435669"/>
    <w:rsid w:val="004414A3"/>
    <w:rsid w:val="0044191D"/>
    <w:rsid w:val="00453343"/>
    <w:rsid w:val="00453A87"/>
    <w:rsid w:val="00453BBB"/>
    <w:rsid w:val="004677D3"/>
    <w:rsid w:val="00472ABE"/>
    <w:rsid w:val="00475683"/>
    <w:rsid w:val="00487B33"/>
    <w:rsid w:val="004938B8"/>
    <w:rsid w:val="004965AF"/>
    <w:rsid w:val="004A3AAE"/>
    <w:rsid w:val="004B2784"/>
    <w:rsid w:val="004B3052"/>
    <w:rsid w:val="004C2737"/>
    <w:rsid w:val="004C28C8"/>
    <w:rsid w:val="004D7897"/>
    <w:rsid w:val="004E491E"/>
    <w:rsid w:val="004F1A3F"/>
    <w:rsid w:val="00506CEF"/>
    <w:rsid w:val="00511876"/>
    <w:rsid w:val="005160BD"/>
    <w:rsid w:val="00535981"/>
    <w:rsid w:val="005405CD"/>
    <w:rsid w:val="00541817"/>
    <w:rsid w:val="00542274"/>
    <w:rsid w:val="00554298"/>
    <w:rsid w:val="0055506C"/>
    <w:rsid w:val="00560B54"/>
    <w:rsid w:val="00577038"/>
    <w:rsid w:val="00584363"/>
    <w:rsid w:val="00586FD1"/>
    <w:rsid w:val="00592A08"/>
    <w:rsid w:val="005A57C0"/>
    <w:rsid w:val="005C6CA4"/>
    <w:rsid w:val="005C74F8"/>
    <w:rsid w:val="005E192A"/>
    <w:rsid w:val="005E3702"/>
    <w:rsid w:val="005F1A07"/>
    <w:rsid w:val="005F7E5B"/>
    <w:rsid w:val="0061555D"/>
    <w:rsid w:val="00647F93"/>
    <w:rsid w:val="006513EF"/>
    <w:rsid w:val="006543E9"/>
    <w:rsid w:val="00657EE4"/>
    <w:rsid w:val="0068149A"/>
    <w:rsid w:val="00693C7E"/>
    <w:rsid w:val="00695428"/>
    <w:rsid w:val="00697512"/>
    <w:rsid w:val="0069772B"/>
    <w:rsid w:val="006A3148"/>
    <w:rsid w:val="006B2416"/>
    <w:rsid w:val="006C3BF5"/>
    <w:rsid w:val="006D0875"/>
    <w:rsid w:val="006D3B2A"/>
    <w:rsid w:val="006D6989"/>
    <w:rsid w:val="006E3D81"/>
    <w:rsid w:val="006E4C85"/>
    <w:rsid w:val="006E7344"/>
    <w:rsid w:val="006F2B71"/>
    <w:rsid w:val="006F4113"/>
    <w:rsid w:val="006F5DF0"/>
    <w:rsid w:val="007024A5"/>
    <w:rsid w:val="00703FB3"/>
    <w:rsid w:val="0071123F"/>
    <w:rsid w:val="007165AB"/>
    <w:rsid w:val="00720961"/>
    <w:rsid w:val="00722F0F"/>
    <w:rsid w:val="00744523"/>
    <w:rsid w:val="007477D3"/>
    <w:rsid w:val="00750973"/>
    <w:rsid w:val="0076340A"/>
    <w:rsid w:val="00775B69"/>
    <w:rsid w:val="00784D27"/>
    <w:rsid w:val="007941B9"/>
    <w:rsid w:val="00795F12"/>
    <w:rsid w:val="007A5F18"/>
    <w:rsid w:val="007B1329"/>
    <w:rsid w:val="007B4766"/>
    <w:rsid w:val="007B534F"/>
    <w:rsid w:val="007C6EA7"/>
    <w:rsid w:val="007D5302"/>
    <w:rsid w:val="007D59D1"/>
    <w:rsid w:val="007D615C"/>
    <w:rsid w:val="007D7D5B"/>
    <w:rsid w:val="007E025D"/>
    <w:rsid w:val="007E5BC8"/>
    <w:rsid w:val="00810E55"/>
    <w:rsid w:val="00811CD5"/>
    <w:rsid w:val="00826878"/>
    <w:rsid w:val="00826C52"/>
    <w:rsid w:val="00836D4D"/>
    <w:rsid w:val="0084145C"/>
    <w:rsid w:val="00844B02"/>
    <w:rsid w:val="008508B8"/>
    <w:rsid w:val="008516BA"/>
    <w:rsid w:val="00852D95"/>
    <w:rsid w:val="00855607"/>
    <w:rsid w:val="00861287"/>
    <w:rsid w:val="00866335"/>
    <w:rsid w:val="00866A05"/>
    <w:rsid w:val="0086770F"/>
    <w:rsid w:val="00870E5E"/>
    <w:rsid w:val="008749A9"/>
    <w:rsid w:val="008D2348"/>
    <w:rsid w:val="008D25CF"/>
    <w:rsid w:val="008D2C23"/>
    <w:rsid w:val="008E31BF"/>
    <w:rsid w:val="008E4E8C"/>
    <w:rsid w:val="008F04C0"/>
    <w:rsid w:val="008F05C7"/>
    <w:rsid w:val="008F3896"/>
    <w:rsid w:val="008F3ABC"/>
    <w:rsid w:val="00901392"/>
    <w:rsid w:val="0090239F"/>
    <w:rsid w:val="00911BE1"/>
    <w:rsid w:val="00912C76"/>
    <w:rsid w:val="00915261"/>
    <w:rsid w:val="00916CAD"/>
    <w:rsid w:val="009179CF"/>
    <w:rsid w:val="009244B3"/>
    <w:rsid w:val="0093208E"/>
    <w:rsid w:val="00933273"/>
    <w:rsid w:val="00935248"/>
    <w:rsid w:val="00945749"/>
    <w:rsid w:val="00947CD3"/>
    <w:rsid w:val="00957A92"/>
    <w:rsid w:val="009636DC"/>
    <w:rsid w:val="00963D08"/>
    <w:rsid w:val="00964FCE"/>
    <w:rsid w:val="00970670"/>
    <w:rsid w:val="00970F0D"/>
    <w:rsid w:val="00980209"/>
    <w:rsid w:val="009833B2"/>
    <w:rsid w:val="00986C73"/>
    <w:rsid w:val="00990B58"/>
    <w:rsid w:val="009A2EA4"/>
    <w:rsid w:val="009B11C9"/>
    <w:rsid w:val="009B656D"/>
    <w:rsid w:val="009C68AA"/>
    <w:rsid w:val="009D70E7"/>
    <w:rsid w:val="009E11A6"/>
    <w:rsid w:val="009E2540"/>
    <w:rsid w:val="009E3116"/>
    <w:rsid w:val="009E3FA1"/>
    <w:rsid w:val="009F2DB6"/>
    <w:rsid w:val="009F3034"/>
    <w:rsid w:val="00A12494"/>
    <w:rsid w:val="00A1302A"/>
    <w:rsid w:val="00A175A3"/>
    <w:rsid w:val="00A21BD2"/>
    <w:rsid w:val="00A23190"/>
    <w:rsid w:val="00A43DEB"/>
    <w:rsid w:val="00A45A22"/>
    <w:rsid w:val="00A54949"/>
    <w:rsid w:val="00A55235"/>
    <w:rsid w:val="00A560A4"/>
    <w:rsid w:val="00A60D03"/>
    <w:rsid w:val="00A61C6E"/>
    <w:rsid w:val="00A62069"/>
    <w:rsid w:val="00A74D1C"/>
    <w:rsid w:val="00A76204"/>
    <w:rsid w:val="00A77CA0"/>
    <w:rsid w:val="00A81D53"/>
    <w:rsid w:val="00A848C4"/>
    <w:rsid w:val="00A909F2"/>
    <w:rsid w:val="00AA1F7B"/>
    <w:rsid w:val="00AB30BB"/>
    <w:rsid w:val="00AB3990"/>
    <w:rsid w:val="00AC27FC"/>
    <w:rsid w:val="00AC2E5F"/>
    <w:rsid w:val="00AC32F0"/>
    <w:rsid w:val="00AC6A25"/>
    <w:rsid w:val="00AC6FC2"/>
    <w:rsid w:val="00AC7020"/>
    <w:rsid w:val="00AD143E"/>
    <w:rsid w:val="00AD5C80"/>
    <w:rsid w:val="00AD7A53"/>
    <w:rsid w:val="00AD7D90"/>
    <w:rsid w:val="00AE436E"/>
    <w:rsid w:val="00AE5DDC"/>
    <w:rsid w:val="00AE6946"/>
    <w:rsid w:val="00AE7560"/>
    <w:rsid w:val="00AF2DE2"/>
    <w:rsid w:val="00AF31A1"/>
    <w:rsid w:val="00B0011F"/>
    <w:rsid w:val="00B01995"/>
    <w:rsid w:val="00B040F2"/>
    <w:rsid w:val="00B112D6"/>
    <w:rsid w:val="00B22940"/>
    <w:rsid w:val="00B25122"/>
    <w:rsid w:val="00B253DD"/>
    <w:rsid w:val="00B34BFF"/>
    <w:rsid w:val="00B42153"/>
    <w:rsid w:val="00B45D77"/>
    <w:rsid w:val="00B50382"/>
    <w:rsid w:val="00B64AE2"/>
    <w:rsid w:val="00B76884"/>
    <w:rsid w:val="00B8749F"/>
    <w:rsid w:val="00BA55C0"/>
    <w:rsid w:val="00BA7E6C"/>
    <w:rsid w:val="00BB4DF2"/>
    <w:rsid w:val="00BD0FAF"/>
    <w:rsid w:val="00BD16B5"/>
    <w:rsid w:val="00BD3F30"/>
    <w:rsid w:val="00BF7DBD"/>
    <w:rsid w:val="00C001EE"/>
    <w:rsid w:val="00C04963"/>
    <w:rsid w:val="00C0631C"/>
    <w:rsid w:val="00C06C58"/>
    <w:rsid w:val="00C06D62"/>
    <w:rsid w:val="00C100C7"/>
    <w:rsid w:val="00C100F8"/>
    <w:rsid w:val="00C11F35"/>
    <w:rsid w:val="00C20F3D"/>
    <w:rsid w:val="00C31378"/>
    <w:rsid w:val="00C33495"/>
    <w:rsid w:val="00C41C84"/>
    <w:rsid w:val="00C51233"/>
    <w:rsid w:val="00C52657"/>
    <w:rsid w:val="00C63DCB"/>
    <w:rsid w:val="00C663B6"/>
    <w:rsid w:val="00C73038"/>
    <w:rsid w:val="00C74F02"/>
    <w:rsid w:val="00C75B3A"/>
    <w:rsid w:val="00C82359"/>
    <w:rsid w:val="00C866CB"/>
    <w:rsid w:val="00C8791A"/>
    <w:rsid w:val="00C87A41"/>
    <w:rsid w:val="00C90723"/>
    <w:rsid w:val="00CA24AB"/>
    <w:rsid w:val="00CA5E8A"/>
    <w:rsid w:val="00CA6AD9"/>
    <w:rsid w:val="00CA7DDA"/>
    <w:rsid w:val="00CB5799"/>
    <w:rsid w:val="00CB7C29"/>
    <w:rsid w:val="00CC018B"/>
    <w:rsid w:val="00CC708E"/>
    <w:rsid w:val="00CD2806"/>
    <w:rsid w:val="00CE2325"/>
    <w:rsid w:val="00CE789D"/>
    <w:rsid w:val="00CF3F03"/>
    <w:rsid w:val="00CF7279"/>
    <w:rsid w:val="00D0111E"/>
    <w:rsid w:val="00D06190"/>
    <w:rsid w:val="00D13D90"/>
    <w:rsid w:val="00D22D32"/>
    <w:rsid w:val="00D24897"/>
    <w:rsid w:val="00D30809"/>
    <w:rsid w:val="00D33F11"/>
    <w:rsid w:val="00D354F5"/>
    <w:rsid w:val="00D41BED"/>
    <w:rsid w:val="00D5057C"/>
    <w:rsid w:val="00D55F81"/>
    <w:rsid w:val="00D56152"/>
    <w:rsid w:val="00D61DEB"/>
    <w:rsid w:val="00D660A2"/>
    <w:rsid w:val="00D67347"/>
    <w:rsid w:val="00D67F92"/>
    <w:rsid w:val="00D72497"/>
    <w:rsid w:val="00D85EDF"/>
    <w:rsid w:val="00D91A1D"/>
    <w:rsid w:val="00D9343D"/>
    <w:rsid w:val="00D945AF"/>
    <w:rsid w:val="00DA146F"/>
    <w:rsid w:val="00DA2A33"/>
    <w:rsid w:val="00DA326F"/>
    <w:rsid w:val="00DC168B"/>
    <w:rsid w:val="00DC5644"/>
    <w:rsid w:val="00DD0B05"/>
    <w:rsid w:val="00DD1492"/>
    <w:rsid w:val="00DD4040"/>
    <w:rsid w:val="00DD6132"/>
    <w:rsid w:val="00DD7D59"/>
    <w:rsid w:val="00DD7D7F"/>
    <w:rsid w:val="00DE0D9A"/>
    <w:rsid w:val="00DE3F34"/>
    <w:rsid w:val="00DF3B6B"/>
    <w:rsid w:val="00E06088"/>
    <w:rsid w:val="00E06536"/>
    <w:rsid w:val="00E12274"/>
    <w:rsid w:val="00E12385"/>
    <w:rsid w:val="00E227B8"/>
    <w:rsid w:val="00E35D62"/>
    <w:rsid w:val="00E46AC7"/>
    <w:rsid w:val="00E512CE"/>
    <w:rsid w:val="00E519EA"/>
    <w:rsid w:val="00E56FE6"/>
    <w:rsid w:val="00E63D39"/>
    <w:rsid w:val="00E66345"/>
    <w:rsid w:val="00E669D9"/>
    <w:rsid w:val="00E70C0A"/>
    <w:rsid w:val="00E73014"/>
    <w:rsid w:val="00E766EB"/>
    <w:rsid w:val="00E7790C"/>
    <w:rsid w:val="00E77AD9"/>
    <w:rsid w:val="00E854A1"/>
    <w:rsid w:val="00E9155C"/>
    <w:rsid w:val="00E967E3"/>
    <w:rsid w:val="00EC30FD"/>
    <w:rsid w:val="00EC507E"/>
    <w:rsid w:val="00EC5EC7"/>
    <w:rsid w:val="00ED10FA"/>
    <w:rsid w:val="00ED64B7"/>
    <w:rsid w:val="00EE42E6"/>
    <w:rsid w:val="00EF0CD1"/>
    <w:rsid w:val="00EF2C82"/>
    <w:rsid w:val="00F0103A"/>
    <w:rsid w:val="00F0200D"/>
    <w:rsid w:val="00F07FEE"/>
    <w:rsid w:val="00F14CA1"/>
    <w:rsid w:val="00F2045C"/>
    <w:rsid w:val="00F20C60"/>
    <w:rsid w:val="00F35F20"/>
    <w:rsid w:val="00F55F4A"/>
    <w:rsid w:val="00F56959"/>
    <w:rsid w:val="00F71F8F"/>
    <w:rsid w:val="00F737E2"/>
    <w:rsid w:val="00F73D17"/>
    <w:rsid w:val="00F8112D"/>
    <w:rsid w:val="00F94EBC"/>
    <w:rsid w:val="00F9507A"/>
    <w:rsid w:val="00FA325A"/>
    <w:rsid w:val="00FA5E45"/>
    <w:rsid w:val="00FA5EF9"/>
    <w:rsid w:val="00FA6619"/>
    <w:rsid w:val="00FB37BF"/>
    <w:rsid w:val="00FB3FD8"/>
    <w:rsid w:val="00FB5A84"/>
    <w:rsid w:val="00FC34CB"/>
    <w:rsid w:val="00FC6EF4"/>
    <w:rsid w:val="00FD7A7F"/>
    <w:rsid w:val="00FE2E15"/>
    <w:rsid w:val="00FE3509"/>
    <w:rsid w:val="00FE53B7"/>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paragraph" w:styleId="CommentText">
    <w:name w:val="annotation text"/>
    <w:basedOn w:val="Normal"/>
    <w:link w:val="CommentTextChar"/>
    <w:uiPriority w:val="99"/>
    <w:semiHidden/>
    <w:unhideWhenUsed/>
    <w:rsid w:val="008F04C0"/>
    <w:pPr>
      <w:spacing w:line="240" w:lineRule="auto"/>
    </w:pPr>
    <w:rPr>
      <w:sz w:val="20"/>
      <w:szCs w:val="20"/>
    </w:rPr>
  </w:style>
  <w:style w:type="character" w:customStyle="1" w:styleId="CommentTextChar">
    <w:name w:val="Comment Text Char"/>
    <w:basedOn w:val="DefaultParagraphFont"/>
    <w:link w:val="CommentText"/>
    <w:uiPriority w:val="99"/>
    <w:semiHidden/>
    <w:rsid w:val="008F04C0"/>
    <w:rPr>
      <w:sz w:val="20"/>
      <w:szCs w:val="20"/>
    </w:rPr>
  </w:style>
  <w:style w:type="paragraph" w:customStyle="1" w:styleId="Default">
    <w:name w:val="Default"/>
    <w:rsid w:val="008F38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1998">
      <w:bodyDiv w:val="1"/>
      <w:marLeft w:val="0"/>
      <w:marRight w:val="0"/>
      <w:marTop w:val="0"/>
      <w:marBottom w:val="0"/>
      <w:divBdr>
        <w:top w:val="none" w:sz="0" w:space="0" w:color="auto"/>
        <w:left w:val="none" w:sz="0" w:space="0" w:color="auto"/>
        <w:bottom w:val="none" w:sz="0" w:space="0" w:color="auto"/>
        <w:right w:val="none" w:sz="0" w:space="0" w:color="auto"/>
      </w:divBdr>
      <w:divsChild>
        <w:div w:id="1547794474">
          <w:marLeft w:val="0"/>
          <w:marRight w:val="0"/>
          <w:marTop w:val="0"/>
          <w:marBottom w:val="0"/>
          <w:divBdr>
            <w:top w:val="none" w:sz="0" w:space="0" w:color="auto"/>
            <w:left w:val="none" w:sz="0" w:space="0" w:color="auto"/>
            <w:bottom w:val="none" w:sz="0" w:space="0" w:color="auto"/>
            <w:right w:val="none" w:sz="0" w:space="0" w:color="auto"/>
          </w:divBdr>
          <w:divsChild>
            <w:div w:id="330958701">
              <w:marLeft w:val="0"/>
              <w:marRight w:val="0"/>
              <w:marTop w:val="0"/>
              <w:marBottom w:val="0"/>
              <w:divBdr>
                <w:top w:val="none" w:sz="0" w:space="0" w:color="auto"/>
                <w:left w:val="none" w:sz="0" w:space="0" w:color="auto"/>
                <w:bottom w:val="none" w:sz="0" w:space="0" w:color="auto"/>
                <w:right w:val="none" w:sz="0" w:space="0" w:color="auto"/>
              </w:divBdr>
              <w:divsChild>
                <w:div w:id="16740924">
                  <w:marLeft w:val="0"/>
                  <w:marRight w:val="0"/>
                  <w:marTop w:val="0"/>
                  <w:marBottom w:val="0"/>
                  <w:divBdr>
                    <w:top w:val="none" w:sz="0" w:space="0" w:color="auto"/>
                    <w:left w:val="none" w:sz="0" w:space="0" w:color="auto"/>
                    <w:bottom w:val="none" w:sz="0" w:space="0" w:color="auto"/>
                    <w:right w:val="none" w:sz="0" w:space="0" w:color="auto"/>
                  </w:divBdr>
                  <w:divsChild>
                    <w:div w:id="2020231623">
                      <w:marLeft w:val="0"/>
                      <w:marRight w:val="0"/>
                      <w:marTop w:val="0"/>
                      <w:marBottom w:val="0"/>
                      <w:divBdr>
                        <w:top w:val="none" w:sz="0" w:space="0" w:color="auto"/>
                        <w:left w:val="none" w:sz="0" w:space="0" w:color="auto"/>
                        <w:bottom w:val="none" w:sz="0" w:space="0" w:color="auto"/>
                        <w:right w:val="none" w:sz="0" w:space="0" w:color="auto"/>
                      </w:divBdr>
                      <w:divsChild>
                        <w:div w:id="1502969351">
                          <w:marLeft w:val="0"/>
                          <w:marRight w:val="0"/>
                          <w:marTop w:val="0"/>
                          <w:marBottom w:val="0"/>
                          <w:divBdr>
                            <w:top w:val="none" w:sz="0" w:space="0" w:color="auto"/>
                            <w:left w:val="none" w:sz="0" w:space="0" w:color="auto"/>
                            <w:bottom w:val="none" w:sz="0" w:space="0" w:color="auto"/>
                            <w:right w:val="none" w:sz="0" w:space="0" w:color="auto"/>
                          </w:divBdr>
                          <w:divsChild>
                            <w:div w:id="644315897">
                              <w:marLeft w:val="0"/>
                              <w:marRight w:val="0"/>
                              <w:marTop w:val="0"/>
                              <w:marBottom w:val="0"/>
                              <w:divBdr>
                                <w:top w:val="none" w:sz="0" w:space="0" w:color="auto"/>
                                <w:left w:val="none" w:sz="0" w:space="0" w:color="auto"/>
                                <w:bottom w:val="none" w:sz="0" w:space="0" w:color="auto"/>
                                <w:right w:val="none" w:sz="0" w:space="0" w:color="auto"/>
                              </w:divBdr>
                              <w:divsChild>
                                <w:div w:id="1297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637928">
      <w:bodyDiv w:val="1"/>
      <w:marLeft w:val="0"/>
      <w:marRight w:val="0"/>
      <w:marTop w:val="0"/>
      <w:marBottom w:val="0"/>
      <w:divBdr>
        <w:top w:val="none" w:sz="0" w:space="0" w:color="auto"/>
        <w:left w:val="none" w:sz="0" w:space="0" w:color="auto"/>
        <w:bottom w:val="none" w:sz="0" w:space="0" w:color="auto"/>
        <w:right w:val="none" w:sz="0" w:space="0" w:color="auto"/>
      </w:divBdr>
    </w:div>
    <w:div w:id="427390523">
      <w:bodyDiv w:val="1"/>
      <w:marLeft w:val="0"/>
      <w:marRight w:val="0"/>
      <w:marTop w:val="0"/>
      <w:marBottom w:val="0"/>
      <w:divBdr>
        <w:top w:val="none" w:sz="0" w:space="0" w:color="auto"/>
        <w:left w:val="none" w:sz="0" w:space="0" w:color="auto"/>
        <w:bottom w:val="none" w:sz="0" w:space="0" w:color="auto"/>
        <w:right w:val="none" w:sz="0" w:space="0" w:color="auto"/>
      </w:divBdr>
    </w:div>
    <w:div w:id="513228697">
      <w:bodyDiv w:val="1"/>
      <w:marLeft w:val="0"/>
      <w:marRight w:val="0"/>
      <w:marTop w:val="0"/>
      <w:marBottom w:val="0"/>
      <w:divBdr>
        <w:top w:val="none" w:sz="0" w:space="0" w:color="auto"/>
        <w:left w:val="none" w:sz="0" w:space="0" w:color="auto"/>
        <w:bottom w:val="none" w:sz="0" w:space="0" w:color="auto"/>
        <w:right w:val="none" w:sz="0" w:space="0" w:color="auto"/>
      </w:divBdr>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494908677">
      <w:bodyDiv w:val="1"/>
      <w:marLeft w:val="0"/>
      <w:marRight w:val="0"/>
      <w:marTop w:val="0"/>
      <w:marBottom w:val="0"/>
      <w:divBdr>
        <w:top w:val="none" w:sz="0" w:space="0" w:color="auto"/>
        <w:left w:val="none" w:sz="0" w:space="0" w:color="auto"/>
        <w:bottom w:val="none" w:sz="0" w:space="0" w:color="auto"/>
        <w:right w:val="none" w:sz="0" w:space="0" w:color="auto"/>
      </w:divBdr>
    </w:div>
    <w:div w:id="1529637984">
      <w:bodyDiv w:val="1"/>
      <w:marLeft w:val="0"/>
      <w:marRight w:val="0"/>
      <w:marTop w:val="0"/>
      <w:marBottom w:val="2250"/>
      <w:divBdr>
        <w:top w:val="none" w:sz="0" w:space="0" w:color="auto"/>
        <w:left w:val="none" w:sz="0" w:space="0" w:color="auto"/>
        <w:bottom w:val="none" w:sz="0" w:space="0" w:color="auto"/>
        <w:right w:val="none" w:sz="0" w:space="0" w:color="auto"/>
      </w:divBdr>
      <w:divsChild>
        <w:div w:id="1340161541">
          <w:marLeft w:val="0"/>
          <w:marRight w:val="0"/>
          <w:marTop w:val="0"/>
          <w:marBottom w:val="0"/>
          <w:divBdr>
            <w:top w:val="none" w:sz="0" w:space="0" w:color="auto"/>
            <w:left w:val="none" w:sz="0" w:space="0" w:color="auto"/>
            <w:bottom w:val="none" w:sz="0" w:space="0" w:color="auto"/>
            <w:right w:val="none" w:sz="0" w:space="0" w:color="auto"/>
          </w:divBdr>
          <w:divsChild>
            <w:div w:id="12659460">
              <w:marLeft w:val="0"/>
              <w:marRight w:val="0"/>
              <w:marTop w:val="0"/>
              <w:marBottom w:val="0"/>
              <w:divBdr>
                <w:top w:val="none" w:sz="0" w:space="0" w:color="auto"/>
                <w:left w:val="none" w:sz="0" w:space="0" w:color="auto"/>
                <w:bottom w:val="none" w:sz="0" w:space="0" w:color="auto"/>
                <w:right w:val="none" w:sz="0" w:space="0" w:color="auto"/>
              </w:divBdr>
              <w:divsChild>
                <w:div w:id="1010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cgriffin</cp:lastModifiedBy>
  <cp:revision>2</cp:revision>
  <cp:lastPrinted>2018-05-11T09:39:00Z</cp:lastPrinted>
  <dcterms:created xsi:type="dcterms:W3CDTF">2018-09-19T14:01:00Z</dcterms:created>
  <dcterms:modified xsi:type="dcterms:W3CDTF">2018-09-19T14:01:00Z</dcterms:modified>
</cp:coreProperties>
</file>