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927B" w14:textId="77777777" w:rsidR="00BD16B5" w:rsidRPr="00027F0A" w:rsidRDefault="00190EF9" w:rsidP="00027F0A">
      <w:pPr>
        <w:spacing w:after="0" w:line="360" w:lineRule="auto"/>
        <w:jc w:val="center"/>
        <w:rPr>
          <w:b/>
        </w:rPr>
      </w:pPr>
      <w:bookmarkStart w:id="0" w:name="_GoBack"/>
      <w:bookmarkEnd w:id="0"/>
      <w:r w:rsidRPr="00027F0A">
        <w:rPr>
          <w:noProof/>
          <w:lang w:eastAsia="en-IE"/>
        </w:rPr>
        <w:drawing>
          <wp:inline distT="0" distB="0" distL="0" distR="0" wp14:anchorId="1136886B" wp14:editId="741C288A">
            <wp:extent cx="1857375" cy="18846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I Crest Option 2 for output (0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656" cy="1936725"/>
                    </a:xfrm>
                    <a:prstGeom prst="rect">
                      <a:avLst/>
                    </a:prstGeom>
                  </pic:spPr>
                </pic:pic>
              </a:graphicData>
            </a:graphic>
          </wp:inline>
        </w:drawing>
      </w:r>
    </w:p>
    <w:p w14:paraId="375030BB" w14:textId="77777777" w:rsidR="00E70C0A" w:rsidRPr="00384E4F" w:rsidRDefault="00A12494" w:rsidP="004736C8">
      <w:pPr>
        <w:spacing w:after="0" w:line="360" w:lineRule="auto"/>
        <w:jc w:val="center"/>
        <w:rPr>
          <w:b/>
          <w:sz w:val="24"/>
          <w:szCs w:val="24"/>
        </w:rPr>
      </w:pPr>
      <w:r w:rsidRPr="00384E4F">
        <w:rPr>
          <w:b/>
          <w:sz w:val="24"/>
          <w:szCs w:val="24"/>
        </w:rPr>
        <w:t>Teachers’ Union of Ireland</w:t>
      </w:r>
    </w:p>
    <w:p w14:paraId="7ABFB964" w14:textId="0DFA6F37" w:rsidR="00A12494" w:rsidRPr="00384E4F" w:rsidRDefault="009E49C9" w:rsidP="004736C8">
      <w:pPr>
        <w:spacing w:after="0" w:line="360" w:lineRule="auto"/>
        <w:jc w:val="center"/>
        <w:rPr>
          <w:b/>
          <w:sz w:val="24"/>
          <w:szCs w:val="24"/>
        </w:rPr>
      </w:pPr>
      <w:r w:rsidRPr="009E49C9">
        <w:rPr>
          <w:b/>
          <w:sz w:val="24"/>
          <w:szCs w:val="24"/>
        </w:rPr>
        <w:t xml:space="preserve">Opening Statement to the Joint Oireachtas </w:t>
      </w:r>
      <w:r w:rsidR="00B01995" w:rsidRPr="00384E4F">
        <w:rPr>
          <w:b/>
          <w:sz w:val="24"/>
          <w:szCs w:val="24"/>
        </w:rPr>
        <w:t>Committee on Education and Skills</w:t>
      </w:r>
      <w:r w:rsidR="0031492A" w:rsidRPr="00384E4F">
        <w:rPr>
          <w:b/>
          <w:sz w:val="24"/>
          <w:szCs w:val="24"/>
        </w:rPr>
        <w:t xml:space="preserve"> </w:t>
      </w:r>
      <w:r w:rsidR="00B01995" w:rsidRPr="00384E4F">
        <w:rPr>
          <w:b/>
          <w:sz w:val="24"/>
          <w:szCs w:val="24"/>
        </w:rPr>
        <w:t xml:space="preserve">regarding </w:t>
      </w:r>
      <w:r w:rsidR="00A21BD2" w:rsidRPr="00384E4F">
        <w:rPr>
          <w:rFonts w:eastAsia="Calibri" w:cs="Tahoma"/>
          <w:sz w:val="24"/>
          <w:szCs w:val="24"/>
        </w:rPr>
        <w:t>‘</w:t>
      </w:r>
      <w:bookmarkStart w:id="1" w:name="_Hlk2597263"/>
      <w:r w:rsidR="00F25A64">
        <w:rPr>
          <w:rFonts w:eastAsia="Calibri" w:cs="Tahoma"/>
          <w:b/>
          <w:sz w:val="24"/>
          <w:szCs w:val="24"/>
        </w:rPr>
        <w:t>delivery of services for students with Down syndrome</w:t>
      </w:r>
      <w:bookmarkEnd w:id="1"/>
      <w:r w:rsidR="00A21BD2" w:rsidRPr="00384E4F">
        <w:rPr>
          <w:rFonts w:eastAsia="Calibri" w:cs="Tahoma"/>
          <w:b/>
          <w:sz w:val="24"/>
          <w:szCs w:val="24"/>
        </w:rPr>
        <w:t>’</w:t>
      </w:r>
      <w:r w:rsidR="00A21BD2" w:rsidRPr="00384E4F">
        <w:rPr>
          <w:b/>
          <w:sz w:val="24"/>
          <w:szCs w:val="24"/>
        </w:rPr>
        <w:t xml:space="preserve"> </w:t>
      </w:r>
      <w:r w:rsidR="00A12494" w:rsidRPr="00384E4F">
        <w:rPr>
          <w:b/>
          <w:sz w:val="24"/>
          <w:szCs w:val="24"/>
        </w:rPr>
        <w:t>(</w:t>
      </w:r>
      <w:r w:rsidR="00343415">
        <w:rPr>
          <w:b/>
          <w:sz w:val="24"/>
          <w:szCs w:val="24"/>
        </w:rPr>
        <w:t>March 2019</w:t>
      </w:r>
      <w:r w:rsidR="00A12494" w:rsidRPr="00384E4F">
        <w:rPr>
          <w:b/>
          <w:sz w:val="24"/>
          <w:szCs w:val="24"/>
        </w:rPr>
        <w:t>)</w:t>
      </w:r>
    </w:p>
    <w:p w14:paraId="28383CC5" w14:textId="77777777" w:rsidR="007A5F18" w:rsidRPr="00384E4F" w:rsidRDefault="007A5F18" w:rsidP="00384E4F">
      <w:pPr>
        <w:spacing w:after="0" w:line="360" w:lineRule="auto"/>
        <w:jc w:val="both"/>
        <w:rPr>
          <w:b/>
          <w:sz w:val="24"/>
          <w:szCs w:val="24"/>
        </w:rPr>
      </w:pPr>
    </w:p>
    <w:p w14:paraId="1F39885A" w14:textId="77777777" w:rsidR="00655DA1" w:rsidRPr="00803E38" w:rsidRDefault="00655DA1" w:rsidP="00655DA1">
      <w:pPr>
        <w:spacing w:after="0" w:line="360" w:lineRule="auto"/>
        <w:jc w:val="both"/>
        <w:rPr>
          <w:b/>
          <w:sz w:val="24"/>
          <w:szCs w:val="24"/>
          <w:u w:val="single"/>
        </w:rPr>
      </w:pPr>
      <w:r w:rsidRPr="00803E38">
        <w:rPr>
          <w:b/>
          <w:sz w:val="24"/>
          <w:szCs w:val="24"/>
          <w:u w:val="single"/>
        </w:rPr>
        <w:t>Introduction</w:t>
      </w:r>
    </w:p>
    <w:p w14:paraId="7D30B59D" w14:textId="73F6AF4D" w:rsidR="00655DA1" w:rsidRPr="00803E38" w:rsidRDefault="00490A52" w:rsidP="00655DA1">
      <w:pPr>
        <w:spacing w:after="0" w:line="360" w:lineRule="auto"/>
        <w:jc w:val="both"/>
        <w:rPr>
          <w:rFonts w:eastAsiaTheme="majorEastAsia" w:cstheme="majorBidi"/>
          <w:b/>
          <w:bCs/>
          <w:sz w:val="24"/>
          <w:szCs w:val="24"/>
        </w:rPr>
      </w:pPr>
      <w:r>
        <w:rPr>
          <w:rFonts w:eastAsiaTheme="majorEastAsia" w:cstheme="majorBidi"/>
          <w:bCs/>
          <w:sz w:val="24"/>
          <w:szCs w:val="24"/>
        </w:rPr>
        <w:t xml:space="preserve">The </w:t>
      </w:r>
      <w:r w:rsidR="00655DA1" w:rsidRPr="00803E38">
        <w:rPr>
          <w:rFonts w:eastAsiaTheme="majorEastAsia" w:cstheme="majorBidi"/>
          <w:bCs/>
          <w:sz w:val="24"/>
          <w:szCs w:val="24"/>
        </w:rPr>
        <w:t>TUI represents teachers and lecturers (17,000+) employed by Education and Training Boards (ETBs), voluntary secondary schools, Community and Comprehensive (C&amp;C) schools an</w:t>
      </w:r>
      <w:r w:rsidR="00655DA1">
        <w:rPr>
          <w:rFonts w:eastAsiaTheme="majorEastAsia" w:cstheme="majorBidi"/>
          <w:bCs/>
          <w:sz w:val="24"/>
          <w:szCs w:val="24"/>
        </w:rPr>
        <w:t>d the institutes of technology.  We also have a small number of members teaching in special schools.</w:t>
      </w:r>
    </w:p>
    <w:p w14:paraId="50B44ED5" w14:textId="77777777" w:rsidR="00655DA1" w:rsidRPr="00803E38" w:rsidRDefault="00655DA1" w:rsidP="00655DA1">
      <w:pPr>
        <w:spacing w:after="0" w:line="360" w:lineRule="auto"/>
        <w:jc w:val="both"/>
        <w:rPr>
          <w:sz w:val="24"/>
          <w:szCs w:val="24"/>
        </w:rPr>
      </w:pPr>
    </w:p>
    <w:p w14:paraId="30411287" w14:textId="77777777" w:rsidR="00655DA1" w:rsidRPr="00803E38" w:rsidRDefault="00655DA1" w:rsidP="00655DA1">
      <w:pPr>
        <w:spacing w:after="0" w:line="360" w:lineRule="auto"/>
        <w:jc w:val="both"/>
        <w:rPr>
          <w:sz w:val="24"/>
          <w:szCs w:val="24"/>
        </w:rPr>
      </w:pPr>
      <w:r w:rsidRPr="00803E38">
        <w:rPr>
          <w:sz w:val="24"/>
          <w:szCs w:val="24"/>
        </w:rPr>
        <w:t xml:space="preserve">The TUI welcomes this opportunity to make a submission to the Committee in relation to </w:t>
      </w:r>
      <w:r w:rsidRPr="00803E38">
        <w:rPr>
          <w:rFonts w:eastAsia="Calibri" w:cs="Tahoma"/>
          <w:sz w:val="24"/>
          <w:szCs w:val="24"/>
        </w:rPr>
        <w:t>‘</w:t>
      </w:r>
      <w:r>
        <w:rPr>
          <w:rFonts w:eastAsia="Calibri" w:cs="Tahoma"/>
          <w:b/>
          <w:sz w:val="24"/>
          <w:szCs w:val="24"/>
        </w:rPr>
        <w:t>delivery of services for students with Down syndrome</w:t>
      </w:r>
      <w:r w:rsidRPr="00803E38">
        <w:rPr>
          <w:rFonts w:eastAsia="Calibri" w:cs="Tahoma"/>
          <w:b/>
          <w:sz w:val="24"/>
          <w:szCs w:val="24"/>
        </w:rPr>
        <w:t>’.</w:t>
      </w:r>
      <w:r w:rsidRPr="00803E38">
        <w:rPr>
          <w:sz w:val="24"/>
          <w:szCs w:val="24"/>
        </w:rPr>
        <w:t xml:space="preserve">  </w:t>
      </w:r>
    </w:p>
    <w:p w14:paraId="4B709404" w14:textId="77777777" w:rsidR="00655DA1" w:rsidRPr="00803E38" w:rsidRDefault="00655DA1" w:rsidP="00655DA1">
      <w:pPr>
        <w:spacing w:after="0" w:line="360" w:lineRule="auto"/>
        <w:jc w:val="both"/>
        <w:rPr>
          <w:sz w:val="24"/>
          <w:szCs w:val="24"/>
        </w:rPr>
      </w:pPr>
    </w:p>
    <w:p w14:paraId="38EB4887" w14:textId="77777777" w:rsidR="00655DA1" w:rsidRDefault="00655DA1" w:rsidP="00655DA1">
      <w:pPr>
        <w:spacing w:after="0" w:line="360" w:lineRule="auto"/>
        <w:jc w:val="both"/>
        <w:rPr>
          <w:rFonts w:cs="Arial"/>
          <w:sz w:val="24"/>
          <w:szCs w:val="24"/>
        </w:rPr>
      </w:pPr>
      <w:r w:rsidRPr="00803E38">
        <w:rPr>
          <w:rFonts w:cs="Arial"/>
          <w:sz w:val="24"/>
          <w:szCs w:val="24"/>
        </w:rPr>
        <w:t xml:space="preserve">Some </w:t>
      </w:r>
      <w:r>
        <w:rPr>
          <w:rFonts w:cs="Arial"/>
          <w:sz w:val="24"/>
          <w:szCs w:val="24"/>
        </w:rPr>
        <w:t>0.18</w:t>
      </w:r>
      <w:r w:rsidRPr="00803E38">
        <w:rPr>
          <w:rFonts w:cs="Arial"/>
          <w:sz w:val="24"/>
          <w:szCs w:val="24"/>
        </w:rPr>
        <w:t xml:space="preserve">% of all </w:t>
      </w:r>
      <w:r>
        <w:rPr>
          <w:rFonts w:cs="Arial"/>
          <w:sz w:val="24"/>
          <w:szCs w:val="24"/>
        </w:rPr>
        <w:t>children are diagnosed</w:t>
      </w:r>
      <w:r w:rsidRPr="00803E38">
        <w:rPr>
          <w:rFonts w:cs="Arial"/>
          <w:sz w:val="24"/>
          <w:szCs w:val="24"/>
        </w:rPr>
        <w:t xml:space="preserve"> with </w:t>
      </w:r>
      <w:r>
        <w:rPr>
          <w:rFonts w:cs="Arial"/>
          <w:sz w:val="24"/>
          <w:szCs w:val="24"/>
        </w:rPr>
        <w:t>Down syndrome (www.downsyndrome.ie)</w:t>
      </w:r>
      <w:r w:rsidRPr="00803E38">
        <w:rPr>
          <w:rFonts w:cs="Arial"/>
          <w:sz w:val="24"/>
          <w:szCs w:val="24"/>
        </w:rPr>
        <w:t xml:space="preserve">. </w:t>
      </w:r>
      <w:r>
        <w:rPr>
          <w:rFonts w:cs="Arial"/>
          <w:sz w:val="24"/>
          <w:szCs w:val="24"/>
        </w:rPr>
        <w:t>This equates to approximately 1,600 students across primary and post-primary.  The TUI is not aware of any specific data for the post-primary sector alone.</w:t>
      </w:r>
    </w:p>
    <w:p w14:paraId="354A2C2D" w14:textId="77777777" w:rsidR="00655DA1" w:rsidRDefault="00655DA1" w:rsidP="00655DA1">
      <w:pPr>
        <w:spacing w:after="0" w:line="360" w:lineRule="auto"/>
        <w:jc w:val="both"/>
        <w:rPr>
          <w:rFonts w:cs="Arial"/>
          <w:sz w:val="24"/>
          <w:szCs w:val="24"/>
        </w:rPr>
      </w:pPr>
    </w:p>
    <w:p w14:paraId="798D789C" w14:textId="77777777" w:rsidR="00655DA1" w:rsidRPr="00B520D0" w:rsidRDefault="00655DA1" w:rsidP="00655DA1">
      <w:pPr>
        <w:spacing w:after="0" w:line="360" w:lineRule="auto"/>
        <w:jc w:val="both"/>
        <w:rPr>
          <w:rFonts w:cs="Arial"/>
          <w:b/>
          <w:sz w:val="24"/>
          <w:szCs w:val="24"/>
          <w:u w:val="single"/>
        </w:rPr>
      </w:pPr>
      <w:r w:rsidRPr="00B520D0">
        <w:rPr>
          <w:rFonts w:cs="Arial"/>
          <w:b/>
          <w:sz w:val="24"/>
          <w:szCs w:val="24"/>
          <w:u w:val="single"/>
        </w:rPr>
        <w:t>Inclusion</w:t>
      </w:r>
    </w:p>
    <w:p w14:paraId="4358F6B4" w14:textId="77777777" w:rsidR="00655DA1" w:rsidRDefault="00655DA1" w:rsidP="00655DA1">
      <w:pPr>
        <w:spacing w:after="0" w:line="360" w:lineRule="auto"/>
        <w:jc w:val="both"/>
        <w:rPr>
          <w:rFonts w:cs="Arial"/>
          <w:sz w:val="24"/>
          <w:szCs w:val="24"/>
        </w:rPr>
      </w:pPr>
      <w:r w:rsidRPr="00393415">
        <w:rPr>
          <w:rFonts w:cs="Arial"/>
          <w:sz w:val="24"/>
          <w:szCs w:val="24"/>
        </w:rPr>
        <w:t>Data clearl</w:t>
      </w:r>
      <w:r>
        <w:rPr>
          <w:rFonts w:cs="Arial"/>
          <w:sz w:val="24"/>
          <w:szCs w:val="24"/>
        </w:rPr>
        <w:t xml:space="preserve">y shows that students with SEN, such as those with Down Syndrome, </w:t>
      </w:r>
      <w:r w:rsidRPr="00393415">
        <w:rPr>
          <w:rFonts w:cs="Arial"/>
          <w:sz w:val="24"/>
          <w:szCs w:val="24"/>
        </w:rPr>
        <w:t xml:space="preserve">are far more likely to attend ETB and C&amp;C schools than voluntary secondary schools.  The TUI believes that all students should be able to access mainstream schools unless the needs of the students are so serious that they couldn’t cope in a mainstream school.  </w:t>
      </w:r>
      <w:r>
        <w:rPr>
          <w:rFonts w:cs="Arial"/>
          <w:sz w:val="24"/>
          <w:szCs w:val="24"/>
        </w:rPr>
        <w:t>For this to happen, it</w:t>
      </w:r>
      <w:r w:rsidRPr="00393415">
        <w:rPr>
          <w:rFonts w:cs="Arial"/>
          <w:sz w:val="24"/>
          <w:szCs w:val="24"/>
        </w:rPr>
        <w:t xml:space="preserve"> must be supported by the resourcing of </w:t>
      </w:r>
      <w:r>
        <w:rPr>
          <w:rFonts w:cs="Arial"/>
          <w:sz w:val="24"/>
          <w:szCs w:val="24"/>
        </w:rPr>
        <w:t xml:space="preserve">both </w:t>
      </w:r>
      <w:r w:rsidRPr="00393415">
        <w:rPr>
          <w:rFonts w:cs="Arial"/>
          <w:sz w:val="24"/>
          <w:szCs w:val="24"/>
        </w:rPr>
        <w:t xml:space="preserve">schools </w:t>
      </w:r>
      <w:r>
        <w:rPr>
          <w:rFonts w:cs="Arial"/>
          <w:sz w:val="24"/>
          <w:szCs w:val="24"/>
        </w:rPr>
        <w:t>and</w:t>
      </w:r>
      <w:r w:rsidRPr="00393415">
        <w:rPr>
          <w:rFonts w:cs="Arial"/>
          <w:sz w:val="24"/>
          <w:szCs w:val="24"/>
        </w:rPr>
        <w:t xml:space="preserve"> support services.  </w:t>
      </w:r>
    </w:p>
    <w:p w14:paraId="46FD1EF2" w14:textId="77777777" w:rsidR="00655DA1" w:rsidRDefault="00655DA1" w:rsidP="00655DA1">
      <w:pPr>
        <w:spacing w:after="0" w:line="360" w:lineRule="auto"/>
        <w:jc w:val="both"/>
        <w:rPr>
          <w:rFonts w:cs="Arial"/>
          <w:sz w:val="24"/>
          <w:szCs w:val="24"/>
        </w:rPr>
      </w:pPr>
    </w:p>
    <w:p w14:paraId="779915A8" w14:textId="77777777" w:rsidR="00655DA1" w:rsidRDefault="00655DA1" w:rsidP="00655DA1">
      <w:pPr>
        <w:spacing w:after="0" w:line="360" w:lineRule="auto"/>
        <w:jc w:val="both"/>
        <w:rPr>
          <w:rFonts w:cs="Arial"/>
          <w:sz w:val="24"/>
          <w:szCs w:val="24"/>
        </w:rPr>
      </w:pPr>
      <w:r w:rsidRPr="00393415">
        <w:rPr>
          <w:rFonts w:cs="Arial"/>
          <w:sz w:val="24"/>
          <w:szCs w:val="24"/>
        </w:rPr>
        <w:lastRenderedPageBreak/>
        <w:t xml:space="preserve">Staff who pursue additional qualifications </w:t>
      </w:r>
      <w:proofErr w:type="gramStart"/>
      <w:r>
        <w:rPr>
          <w:rFonts w:cs="Arial"/>
          <w:sz w:val="24"/>
          <w:szCs w:val="24"/>
        </w:rPr>
        <w:t>in the area of</w:t>
      </w:r>
      <w:proofErr w:type="gramEnd"/>
      <w:r>
        <w:rPr>
          <w:rFonts w:cs="Arial"/>
          <w:sz w:val="24"/>
          <w:szCs w:val="24"/>
        </w:rPr>
        <w:t xml:space="preserve"> SEN </w:t>
      </w:r>
      <w:r w:rsidRPr="00393415">
        <w:rPr>
          <w:rFonts w:cs="Arial"/>
          <w:sz w:val="24"/>
          <w:szCs w:val="24"/>
        </w:rPr>
        <w:t xml:space="preserve">must be recompensed.  </w:t>
      </w:r>
      <w:r>
        <w:rPr>
          <w:rFonts w:cs="Arial"/>
          <w:sz w:val="24"/>
          <w:szCs w:val="24"/>
        </w:rPr>
        <w:t>It is important to note that t</w:t>
      </w:r>
      <w:r w:rsidRPr="00393415">
        <w:rPr>
          <w:rFonts w:cs="Arial"/>
          <w:sz w:val="24"/>
          <w:szCs w:val="24"/>
        </w:rPr>
        <w:t xml:space="preserve">he role of the teacher is to support the education of the child whilst the SNA (if applicable) can cater to the care needs of the child (Circular 30/14 and the May 2018 NCSE review of SNA scheme).  All schools should accept students </w:t>
      </w:r>
      <w:r>
        <w:rPr>
          <w:rFonts w:cs="Arial"/>
          <w:sz w:val="24"/>
          <w:szCs w:val="24"/>
        </w:rPr>
        <w:t xml:space="preserve">with SEN. </w:t>
      </w:r>
    </w:p>
    <w:p w14:paraId="0800F436" w14:textId="77777777" w:rsidR="00DE1D05" w:rsidRDefault="00DE1D05" w:rsidP="00E43736">
      <w:pPr>
        <w:spacing w:after="0" w:line="360" w:lineRule="auto"/>
        <w:jc w:val="both"/>
        <w:rPr>
          <w:rFonts w:cs="Arial"/>
          <w:b/>
          <w:sz w:val="24"/>
          <w:szCs w:val="24"/>
          <w:u w:val="single"/>
        </w:rPr>
      </w:pPr>
    </w:p>
    <w:p w14:paraId="5441492B" w14:textId="5EA0E08D" w:rsidR="00655DA1" w:rsidRDefault="00655DA1" w:rsidP="00655DA1">
      <w:pPr>
        <w:spacing w:after="0" w:line="360" w:lineRule="auto"/>
        <w:jc w:val="both"/>
        <w:rPr>
          <w:rFonts w:cs="Arial"/>
          <w:b/>
          <w:sz w:val="24"/>
          <w:szCs w:val="24"/>
          <w:u w:val="single"/>
        </w:rPr>
      </w:pPr>
      <w:r>
        <w:rPr>
          <w:rFonts w:cs="Arial"/>
          <w:b/>
          <w:sz w:val="24"/>
          <w:szCs w:val="24"/>
          <w:u w:val="single"/>
        </w:rPr>
        <w:t xml:space="preserve">Individual Education Plans </w:t>
      </w:r>
      <w:r w:rsidR="000522A2">
        <w:rPr>
          <w:rFonts w:cs="Arial"/>
          <w:b/>
          <w:sz w:val="24"/>
          <w:szCs w:val="24"/>
          <w:u w:val="single"/>
        </w:rPr>
        <w:t xml:space="preserve">(IEPs) </w:t>
      </w:r>
      <w:r>
        <w:rPr>
          <w:rFonts w:cs="Arial"/>
          <w:b/>
          <w:sz w:val="24"/>
          <w:szCs w:val="24"/>
          <w:u w:val="single"/>
        </w:rPr>
        <w:t>and Implementation of the EPSEN Act</w:t>
      </w:r>
      <w:r w:rsidR="000522A2">
        <w:rPr>
          <w:rFonts w:cs="Arial"/>
          <w:b/>
          <w:sz w:val="24"/>
          <w:szCs w:val="24"/>
          <w:u w:val="single"/>
        </w:rPr>
        <w:t xml:space="preserve"> 2004</w:t>
      </w:r>
    </w:p>
    <w:p w14:paraId="67A0D8B3" w14:textId="3EFE4835" w:rsidR="00655DA1" w:rsidRDefault="00655DA1" w:rsidP="00655DA1">
      <w:pPr>
        <w:spacing w:line="360" w:lineRule="auto"/>
        <w:jc w:val="both"/>
        <w:rPr>
          <w:sz w:val="24"/>
          <w:szCs w:val="24"/>
        </w:rPr>
      </w:pPr>
      <w:r w:rsidRPr="00803E38">
        <w:rPr>
          <w:sz w:val="24"/>
          <w:szCs w:val="24"/>
        </w:rPr>
        <w:t xml:space="preserve">A commitment to implementing the EPSEN Act 2004 is essential if provision for students with </w:t>
      </w:r>
      <w:r>
        <w:rPr>
          <w:sz w:val="24"/>
          <w:szCs w:val="24"/>
        </w:rPr>
        <w:t>SEN</w:t>
      </w:r>
      <w:r w:rsidRPr="00803E38">
        <w:rPr>
          <w:sz w:val="24"/>
          <w:szCs w:val="24"/>
        </w:rPr>
        <w:t xml:space="preserve"> is to be adequately and appropriately addressed. However, full implementation will only be possible when sufficient resources are allocated. </w:t>
      </w:r>
      <w:r w:rsidR="000522A2">
        <w:rPr>
          <w:sz w:val="24"/>
          <w:szCs w:val="24"/>
        </w:rPr>
        <w:t xml:space="preserve"> Over ten years ago, TUI </w:t>
      </w:r>
      <w:r w:rsidRPr="00803E38">
        <w:rPr>
          <w:sz w:val="24"/>
          <w:szCs w:val="24"/>
        </w:rPr>
        <w:t>emphasised that schools were not sufficiently resourced to implement I</w:t>
      </w:r>
      <w:r w:rsidR="000522A2">
        <w:rPr>
          <w:sz w:val="24"/>
          <w:szCs w:val="24"/>
        </w:rPr>
        <w:t>ndividual Education Plans</w:t>
      </w:r>
      <w:r w:rsidRPr="00803E38">
        <w:rPr>
          <w:sz w:val="24"/>
          <w:szCs w:val="24"/>
        </w:rPr>
        <w:t xml:space="preserve"> for SEN students.  </w:t>
      </w:r>
      <w:r>
        <w:rPr>
          <w:sz w:val="24"/>
          <w:szCs w:val="24"/>
        </w:rPr>
        <w:t>The TUI has been calling for the full implementation, and resourcing, of the EPSEN Act for almost fifteen years.  We have reiterated that call four times in the last year alone.  However, we have been told by successive governments that the funding is not available to enact the remaining provisions of the legislation.</w:t>
      </w:r>
    </w:p>
    <w:p w14:paraId="20A64251" w14:textId="77777777" w:rsidR="00655DA1" w:rsidRDefault="00655DA1" w:rsidP="00655DA1">
      <w:pPr>
        <w:autoSpaceDE w:val="0"/>
        <w:autoSpaceDN w:val="0"/>
        <w:adjustRightInd w:val="0"/>
        <w:spacing w:after="0" w:line="360" w:lineRule="auto"/>
        <w:jc w:val="both"/>
        <w:rPr>
          <w:sz w:val="24"/>
          <w:szCs w:val="24"/>
        </w:rPr>
      </w:pPr>
    </w:p>
    <w:p w14:paraId="254AD77F" w14:textId="77777777" w:rsidR="00655DA1" w:rsidRDefault="00655DA1" w:rsidP="00655DA1">
      <w:pPr>
        <w:autoSpaceDE w:val="0"/>
        <w:autoSpaceDN w:val="0"/>
        <w:adjustRightInd w:val="0"/>
        <w:spacing w:after="0" w:line="360" w:lineRule="auto"/>
        <w:jc w:val="both"/>
        <w:rPr>
          <w:sz w:val="24"/>
          <w:szCs w:val="24"/>
        </w:rPr>
      </w:pPr>
      <w:r>
        <w:rPr>
          <w:sz w:val="24"/>
          <w:szCs w:val="24"/>
        </w:rPr>
        <w:t>In</w:t>
      </w:r>
      <w:r w:rsidRPr="00E43736">
        <w:rPr>
          <w:sz w:val="24"/>
          <w:szCs w:val="24"/>
        </w:rPr>
        <w:t xml:space="preserve"> the absence of appropriate</w:t>
      </w:r>
      <w:r>
        <w:rPr>
          <w:sz w:val="24"/>
          <w:szCs w:val="24"/>
        </w:rPr>
        <w:t xml:space="preserve"> resourcing, TUI</w:t>
      </w:r>
      <w:r w:rsidRPr="00E43736">
        <w:rPr>
          <w:sz w:val="24"/>
          <w:szCs w:val="24"/>
        </w:rPr>
        <w:t xml:space="preserve"> members cannot be required</w:t>
      </w:r>
      <w:r>
        <w:rPr>
          <w:sz w:val="24"/>
          <w:szCs w:val="24"/>
        </w:rPr>
        <w:t xml:space="preserve"> </w:t>
      </w:r>
      <w:r w:rsidRPr="00E43736">
        <w:rPr>
          <w:sz w:val="24"/>
          <w:szCs w:val="24"/>
        </w:rPr>
        <w:t>to implem</w:t>
      </w:r>
      <w:r>
        <w:rPr>
          <w:sz w:val="24"/>
          <w:szCs w:val="24"/>
        </w:rPr>
        <w:t>ent IE</w:t>
      </w:r>
      <w:r w:rsidRPr="00E43736">
        <w:rPr>
          <w:sz w:val="24"/>
          <w:szCs w:val="24"/>
        </w:rPr>
        <w:t>Ps.</w:t>
      </w:r>
      <w:r>
        <w:rPr>
          <w:sz w:val="24"/>
          <w:szCs w:val="24"/>
        </w:rPr>
        <w:t xml:space="preserve"> </w:t>
      </w:r>
      <w:r w:rsidRPr="00E43736">
        <w:rPr>
          <w:sz w:val="24"/>
          <w:szCs w:val="24"/>
        </w:rPr>
        <w:t>To do so would create the false impression for</w:t>
      </w:r>
      <w:r>
        <w:rPr>
          <w:sz w:val="24"/>
          <w:szCs w:val="24"/>
        </w:rPr>
        <w:t xml:space="preserve"> </w:t>
      </w:r>
      <w:r w:rsidRPr="00E43736">
        <w:rPr>
          <w:sz w:val="24"/>
          <w:szCs w:val="24"/>
        </w:rPr>
        <w:t>parents/guardians that a school has a developed</w:t>
      </w:r>
      <w:r>
        <w:rPr>
          <w:sz w:val="24"/>
          <w:szCs w:val="24"/>
        </w:rPr>
        <w:t xml:space="preserve"> </w:t>
      </w:r>
      <w:r w:rsidRPr="00E43736">
        <w:rPr>
          <w:sz w:val="24"/>
          <w:szCs w:val="24"/>
        </w:rPr>
        <w:t>capacity to deliver the level of service promised</w:t>
      </w:r>
      <w:r>
        <w:rPr>
          <w:sz w:val="24"/>
          <w:szCs w:val="24"/>
        </w:rPr>
        <w:t xml:space="preserve"> in the EPSE</w:t>
      </w:r>
      <w:r w:rsidRPr="00E43736">
        <w:rPr>
          <w:sz w:val="24"/>
          <w:szCs w:val="24"/>
        </w:rPr>
        <w:t xml:space="preserve">N Act. </w:t>
      </w:r>
    </w:p>
    <w:p w14:paraId="4339F436" w14:textId="77777777" w:rsidR="00655DA1" w:rsidRDefault="00655DA1" w:rsidP="00655DA1">
      <w:pPr>
        <w:autoSpaceDE w:val="0"/>
        <w:autoSpaceDN w:val="0"/>
        <w:adjustRightInd w:val="0"/>
        <w:spacing w:after="0" w:line="360" w:lineRule="auto"/>
        <w:jc w:val="both"/>
        <w:rPr>
          <w:sz w:val="24"/>
          <w:szCs w:val="24"/>
        </w:rPr>
      </w:pPr>
    </w:p>
    <w:p w14:paraId="215A83A0" w14:textId="5FA49B74" w:rsidR="00655DA1" w:rsidRPr="00803E38" w:rsidRDefault="00655DA1" w:rsidP="00655DA1">
      <w:pPr>
        <w:autoSpaceDE w:val="0"/>
        <w:autoSpaceDN w:val="0"/>
        <w:adjustRightInd w:val="0"/>
        <w:spacing w:after="0" w:line="360" w:lineRule="auto"/>
        <w:jc w:val="both"/>
        <w:rPr>
          <w:sz w:val="24"/>
          <w:szCs w:val="24"/>
        </w:rPr>
      </w:pPr>
      <w:r>
        <w:rPr>
          <w:sz w:val="24"/>
          <w:szCs w:val="24"/>
        </w:rPr>
        <w:t>I</w:t>
      </w:r>
      <w:r w:rsidRPr="00E43736">
        <w:rPr>
          <w:sz w:val="24"/>
          <w:szCs w:val="24"/>
        </w:rPr>
        <w:t>t is the moral and legal responsibility of the</w:t>
      </w:r>
      <w:r>
        <w:rPr>
          <w:sz w:val="24"/>
          <w:szCs w:val="24"/>
        </w:rPr>
        <w:t xml:space="preserve"> State, acting through the DE</w:t>
      </w:r>
      <w:r w:rsidRPr="00E43736">
        <w:rPr>
          <w:sz w:val="24"/>
          <w:szCs w:val="24"/>
        </w:rPr>
        <w:t>S, to provide the</w:t>
      </w:r>
      <w:r>
        <w:rPr>
          <w:sz w:val="24"/>
          <w:szCs w:val="24"/>
        </w:rPr>
        <w:t xml:space="preserve"> necessary </w:t>
      </w:r>
      <w:r w:rsidRPr="00E43736">
        <w:rPr>
          <w:sz w:val="24"/>
          <w:szCs w:val="24"/>
        </w:rPr>
        <w:t>resources</w:t>
      </w:r>
      <w:r>
        <w:rPr>
          <w:sz w:val="24"/>
          <w:szCs w:val="24"/>
        </w:rPr>
        <w:t xml:space="preserve">. The TUI cannot </w:t>
      </w:r>
      <w:r w:rsidRPr="00E43736">
        <w:rPr>
          <w:sz w:val="24"/>
          <w:szCs w:val="24"/>
        </w:rPr>
        <w:t>countenance an</w:t>
      </w:r>
      <w:r>
        <w:rPr>
          <w:sz w:val="24"/>
          <w:szCs w:val="24"/>
        </w:rPr>
        <w:t xml:space="preserve"> </w:t>
      </w:r>
      <w:r w:rsidRPr="00E43736">
        <w:rPr>
          <w:sz w:val="24"/>
          <w:szCs w:val="24"/>
        </w:rPr>
        <w:t>opportunistic transfer of that responsibility (or</w:t>
      </w:r>
      <w:r>
        <w:rPr>
          <w:sz w:val="24"/>
          <w:szCs w:val="24"/>
        </w:rPr>
        <w:t xml:space="preserve"> </w:t>
      </w:r>
      <w:r w:rsidRPr="00E43736">
        <w:rPr>
          <w:sz w:val="24"/>
          <w:szCs w:val="24"/>
        </w:rPr>
        <w:t>of the associated culpability) from the State to</w:t>
      </w:r>
      <w:r>
        <w:rPr>
          <w:sz w:val="24"/>
          <w:szCs w:val="24"/>
        </w:rPr>
        <w:t xml:space="preserve"> </w:t>
      </w:r>
      <w:r w:rsidRPr="00E43736">
        <w:rPr>
          <w:sz w:val="24"/>
          <w:szCs w:val="24"/>
        </w:rPr>
        <w:t>teachers. We have informed members that our objection to a medicalised, administratively heavy IEP process does not apply to normal,</w:t>
      </w:r>
      <w:r>
        <w:rPr>
          <w:sz w:val="24"/>
          <w:szCs w:val="24"/>
        </w:rPr>
        <w:t xml:space="preserve"> </w:t>
      </w:r>
      <w:r w:rsidRPr="00E43736">
        <w:rPr>
          <w:sz w:val="24"/>
          <w:szCs w:val="24"/>
        </w:rPr>
        <w:t>professionally appropriate and sustainable</w:t>
      </w:r>
      <w:r>
        <w:rPr>
          <w:sz w:val="24"/>
          <w:szCs w:val="24"/>
        </w:rPr>
        <w:t xml:space="preserve"> </w:t>
      </w:r>
      <w:r w:rsidR="000522A2">
        <w:rPr>
          <w:sz w:val="24"/>
          <w:szCs w:val="24"/>
        </w:rPr>
        <w:t>classroom</w:t>
      </w:r>
      <w:r w:rsidRPr="00E43736">
        <w:rPr>
          <w:sz w:val="24"/>
          <w:szCs w:val="24"/>
        </w:rPr>
        <w:t xml:space="preserve"> planning by teachers for</w:t>
      </w:r>
      <w:r>
        <w:rPr>
          <w:sz w:val="24"/>
          <w:szCs w:val="24"/>
        </w:rPr>
        <w:t xml:space="preserve"> </w:t>
      </w:r>
      <w:r w:rsidRPr="00E43736">
        <w:rPr>
          <w:sz w:val="24"/>
          <w:szCs w:val="24"/>
        </w:rPr>
        <w:t>differentiated teaching and learning that takes</w:t>
      </w:r>
      <w:r>
        <w:rPr>
          <w:sz w:val="24"/>
          <w:szCs w:val="24"/>
        </w:rPr>
        <w:t xml:space="preserve"> </w:t>
      </w:r>
      <w:r w:rsidRPr="00E43736">
        <w:rPr>
          <w:sz w:val="24"/>
          <w:szCs w:val="24"/>
        </w:rPr>
        <w:t>due account of the strengths and needs of the</w:t>
      </w:r>
      <w:r>
        <w:rPr>
          <w:sz w:val="24"/>
          <w:szCs w:val="24"/>
        </w:rPr>
        <w:t xml:space="preserve"> </w:t>
      </w:r>
      <w:r w:rsidRPr="00E43736">
        <w:rPr>
          <w:sz w:val="24"/>
          <w:szCs w:val="24"/>
        </w:rPr>
        <w:t>students they serve and of the contexts in</w:t>
      </w:r>
      <w:r>
        <w:rPr>
          <w:sz w:val="24"/>
          <w:szCs w:val="24"/>
        </w:rPr>
        <w:t xml:space="preserve"> </w:t>
      </w:r>
      <w:r w:rsidRPr="00E43736">
        <w:rPr>
          <w:sz w:val="24"/>
          <w:szCs w:val="24"/>
        </w:rPr>
        <w:t>which they teach.</w:t>
      </w:r>
    </w:p>
    <w:p w14:paraId="287859F5" w14:textId="77777777" w:rsidR="00655DA1" w:rsidRDefault="00655DA1" w:rsidP="00655DA1">
      <w:pPr>
        <w:spacing w:after="0" w:line="360" w:lineRule="auto"/>
        <w:jc w:val="both"/>
        <w:rPr>
          <w:rFonts w:cs="Arial"/>
          <w:b/>
          <w:sz w:val="24"/>
          <w:szCs w:val="24"/>
          <w:u w:val="single"/>
        </w:rPr>
      </w:pPr>
    </w:p>
    <w:p w14:paraId="08A3411E" w14:textId="6058485B" w:rsidR="00655DA1" w:rsidRDefault="00655DA1" w:rsidP="00655DA1">
      <w:pPr>
        <w:spacing w:after="0" w:line="360" w:lineRule="auto"/>
        <w:jc w:val="both"/>
        <w:rPr>
          <w:rFonts w:cs="Arial"/>
          <w:b/>
          <w:sz w:val="24"/>
          <w:szCs w:val="24"/>
          <w:u w:val="single"/>
        </w:rPr>
      </w:pPr>
      <w:r>
        <w:rPr>
          <w:rFonts w:cs="Arial"/>
          <w:b/>
          <w:sz w:val="24"/>
          <w:szCs w:val="24"/>
          <w:u w:val="single"/>
        </w:rPr>
        <w:t>Recommendations</w:t>
      </w:r>
    </w:p>
    <w:p w14:paraId="35DCADE4" w14:textId="76341907" w:rsidR="00875220" w:rsidRPr="00875220" w:rsidRDefault="00875220" w:rsidP="00655DA1">
      <w:pPr>
        <w:spacing w:after="0" w:line="360" w:lineRule="auto"/>
        <w:jc w:val="both"/>
        <w:rPr>
          <w:rFonts w:cs="Arial"/>
          <w:sz w:val="24"/>
          <w:szCs w:val="24"/>
        </w:rPr>
      </w:pPr>
      <w:r w:rsidRPr="00875220">
        <w:rPr>
          <w:rFonts w:cs="Arial"/>
          <w:sz w:val="24"/>
          <w:szCs w:val="24"/>
        </w:rPr>
        <w:t>We would like to make the following recommendations to the committee:</w:t>
      </w:r>
    </w:p>
    <w:p w14:paraId="7A05DA63" w14:textId="14692616" w:rsidR="00655DA1" w:rsidRDefault="00655DA1" w:rsidP="00655DA1">
      <w:pPr>
        <w:pStyle w:val="ListParagraph"/>
        <w:numPr>
          <w:ilvl w:val="0"/>
          <w:numId w:val="25"/>
        </w:numPr>
        <w:spacing w:line="360" w:lineRule="auto"/>
        <w:jc w:val="both"/>
        <w:rPr>
          <w:rFonts w:cs="Arial"/>
          <w:sz w:val="24"/>
          <w:szCs w:val="24"/>
        </w:rPr>
      </w:pPr>
      <w:r w:rsidRPr="00721FB6">
        <w:rPr>
          <w:rFonts w:cs="Arial"/>
          <w:sz w:val="24"/>
          <w:szCs w:val="24"/>
        </w:rPr>
        <w:lastRenderedPageBreak/>
        <w:t xml:space="preserve">Recent changes in guidance provision (Circular 12/2017) and middle management posts (Circular 3/2018) </w:t>
      </w:r>
      <w:r>
        <w:rPr>
          <w:rFonts w:cs="Arial"/>
          <w:sz w:val="24"/>
          <w:szCs w:val="24"/>
        </w:rPr>
        <w:t>are</w:t>
      </w:r>
      <w:r w:rsidRPr="00721FB6">
        <w:rPr>
          <w:rFonts w:cs="Arial"/>
          <w:sz w:val="24"/>
          <w:szCs w:val="24"/>
        </w:rPr>
        <w:t xml:space="preserve"> not enough to support fully students with SEN.  A much larger move in terms of restoration of both is also needed.  </w:t>
      </w:r>
    </w:p>
    <w:p w14:paraId="4D97F489" w14:textId="77777777" w:rsidR="00655DA1" w:rsidRDefault="00655DA1" w:rsidP="00655DA1">
      <w:pPr>
        <w:pStyle w:val="ListParagraph"/>
        <w:numPr>
          <w:ilvl w:val="0"/>
          <w:numId w:val="25"/>
        </w:numPr>
        <w:spacing w:line="360" w:lineRule="auto"/>
        <w:jc w:val="both"/>
        <w:rPr>
          <w:rFonts w:cs="Arial"/>
          <w:sz w:val="24"/>
          <w:szCs w:val="24"/>
        </w:rPr>
      </w:pPr>
      <w:r w:rsidRPr="00721FB6">
        <w:rPr>
          <w:rFonts w:cs="Arial"/>
          <w:sz w:val="24"/>
          <w:szCs w:val="24"/>
        </w:rPr>
        <w:t xml:space="preserve">Teachers should be able to access CPD </w:t>
      </w:r>
      <w:proofErr w:type="gramStart"/>
      <w:r w:rsidRPr="00721FB6">
        <w:rPr>
          <w:rFonts w:cs="Arial"/>
          <w:sz w:val="24"/>
          <w:szCs w:val="24"/>
        </w:rPr>
        <w:t>in order to</w:t>
      </w:r>
      <w:proofErr w:type="gramEnd"/>
      <w:r w:rsidRPr="00721FB6">
        <w:rPr>
          <w:rFonts w:cs="Arial"/>
          <w:sz w:val="24"/>
          <w:szCs w:val="24"/>
        </w:rPr>
        <w:t xml:space="preserve"> best support students with SEN.  </w:t>
      </w:r>
    </w:p>
    <w:p w14:paraId="598D0D40" w14:textId="77777777" w:rsidR="00655DA1" w:rsidRDefault="00655DA1" w:rsidP="00655DA1">
      <w:pPr>
        <w:pStyle w:val="ListParagraph"/>
        <w:numPr>
          <w:ilvl w:val="0"/>
          <w:numId w:val="25"/>
        </w:numPr>
        <w:spacing w:line="360" w:lineRule="auto"/>
        <w:jc w:val="both"/>
        <w:rPr>
          <w:rFonts w:cs="Arial"/>
          <w:sz w:val="24"/>
          <w:szCs w:val="24"/>
        </w:rPr>
      </w:pPr>
      <w:r w:rsidRPr="00721FB6">
        <w:rPr>
          <w:rFonts w:cs="Arial"/>
          <w:sz w:val="24"/>
          <w:szCs w:val="24"/>
        </w:rPr>
        <w:t xml:space="preserve">Schools should be able to access support from the significantly under-pressure support services.  </w:t>
      </w:r>
    </w:p>
    <w:p w14:paraId="13423628" w14:textId="77777777" w:rsidR="00655DA1" w:rsidRPr="00721FB6" w:rsidRDefault="00655DA1" w:rsidP="00655DA1">
      <w:pPr>
        <w:pStyle w:val="ListParagraph"/>
        <w:numPr>
          <w:ilvl w:val="0"/>
          <w:numId w:val="25"/>
        </w:numPr>
        <w:spacing w:line="360" w:lineRule="auto"/>
        <w:jc w:val="both"/>
        <w:rPr>
          <w:rFonts w:cs="Arial"/>
          <w:sz w:val="24"/>
          <w:szCs w:val="24"/>
        </w:rPr>
      </w:pPr>
      <w:r>
        <w:rPr>
          <w:sz w:val="24"/>
          <w:szCs w:val="24"/>
        </w:rPr>
        <w:t>E</w:t>
      </w:r>
      <w:r w:rsidRPr="00721FB6">
        <w:rPr>
          <w:sz w:val="24"/>
          <w:szCs w:val="24"/>
        </w:rPr>
        <w:t>ducation</w:t>
      </w:r>
      <w:r>
        <w:rPr>
          <w:sz w:val="24"/>
          <w:szCs w:val="24"/>
        </w:rPr>
        <w:t xml:space="preserve">, at all levels, should be </w:t>
      </w:r>
      <w:r w:rsidRPr="00721FB6">
        <w:rPr>
          <w:sz w:val="24"/>
          <w:szCs w:val="24"/>
        </w:rPr>
        <w:t xml:space="preserve">available to </w:t>
      </w:r>
      <w:r>
        <w:rPr>
          <w:sz w:val="24"/>
          <w:szCs w:val="24"/>
        </w:rPr>
        <w:t>every</w:t>
      </w:r>
      <w:r w:rsidRPr="00721FB6">
        <w:rPr>
          <w:sz w:val="24"/>
          <w:szCs w:val="24"/>
        </w:rPr>
        <w:t xml:space="preserve"> child</w:t>
      </w:r>
      <w:r>
        <w:rPr>
          <w:sz w:val="24"/>
          <w:szCs w:val="24"/>
        </w:rPr>
        <w:t xml:space="preserve"> - the de</w:t>
      </w:r>
      <w:r w:rsidRPr="00721FB6">
        <w:rPr>
          <w:sz w:val="24"/>
          <w:szCs w:val="24"/>
        </w:rPr>
        <w:t xml:space="preserve">ciding factor </w:t>
      </w:r>
      <w:r>
        <w:rPr>
          <w:sz w:val="24"/>
          <w:szCs w:val="24"/>
        </w:rPr>
        <w:t xml:space="preserve">being </w:t>
      </w:r>
      <w:r w:rsidRPr="00721FB6">
        <w:rPr>
          <w:sz w:val="24"/>
          <w:szCs w:val="24"/>
        </w:rPr>
        <w:t xml:space="preserve">what is in the best interests of the child.  </w:t>
      </w:r>
    </w:p>
    <w:p w14:paraId="1F2D9DD8" w14:textId="20E6DE8E" w:rsidR="008C7B1A" w:rsidRDefault="005652BB" w:rsidP="008C7B1A">
      <w:pPr>
        <w:spacing w:line="360" w:lineRule="auto"/>
        <w:jc w:val="both"/>
        <w:rPr>
          <w:rFonts w:cs="Arial"/>
          <w:sz w:val="24"/>
          <w:szCs w:val="24"/>
        </w:rPr>
      </w:pPr>
      <w:r>
        <w:rPr>
          <w:rFonts w:cs="Arial"/>
          <w:sz w:val="24"/>
          <w:szCs w:val="24"/>
        </w:rPr>
        <w:t>The DES must make clear</w:t>
      </w:r>
      <w:r w:rsidR="0095455F">
        <w:rPr>
          <w:rFonts w:cs="Arial"/>
          <w:sz w:val="24"/>
          <w:szCs w:val="24"/>
        </w:rPr>
        <w:t>, once and for all,</w:t>
      </w:r>
      <w:r>
        <w:rPr>
          <w:rFonts w:cs="Arial"/>
          <w:sz w:val="24"/>
          <w:szCs w:val="24"/>
        </w:rPr>
        <w:t xml:space="preserve"> if it ever intends to fully implement and resource the EPSEN Act.  If the DES cannot implement and resource EPSEN as originally intended, then will the DES join </w:t>
      </w:r>
      <w:r w:rsidR="0095455F">
        <w:rPr>
          <w:rFonts w:cs="Arial"/>
          <w:sz w:val="24"/>
          <w:szCs w:val="24"/>
        </w:rPr>
        <w:t>the TUI</w:t>
      </w:r>
      <w:r>
        <w:rPr>
          <w:rFonts w:cs="Arial"/>
          <w:sz w:val="24"/>
          <w:szCs w:val="24"/>
        </w:rPr>
        <w:t xml:space="preserve"> in examining whether other methods of supporting students with Down syndrome may achieve </w:t>
      </w:r>
      <w:r w:rsidR="0095455F">
        <w:rPr>
          <w:rFonts w:cs="Arial"/>
          <w:sz w:val="24"/>
          <w:szCs w:val="24"/>
        </w:rPr>
        <w:t>a better outcome for the student</w:t>
      </w:r>
      <w:r>
        <w:rPr>
          <w:rFonts w:cs="Arial"/>
          <w:sz w:val="24"/>
          <w:szCs w:val="24"/>
        </w:rPr>
        <w:t>?</w:t>
      </w:r>
      <w:r w:rsidR="008C7B1A" w:rsidRPr="008C7B1A">
        <w:rPr>
          <w:sz w:val="24"/>
          <w:szCs w:val="24"/>
        </w:rPr>
        <w:t xml:space="preserve"> </w:t>
      </w:r>
      <w:r w:rsidR="0095455F">
        <w:rPr>
          <w:sz w:val="24"/>
          <w:szCs w:val="24"/>
        </w:rPr>
        <w:t>Is the medicalised, administrative process of IEPs more important than the actual outcome for the child, or vice versa?</w:t>
      </w:r>
    </w:p>
    <w:p w14:paraId="441C5F96" w14:textId="14350F3B" w:rsidR="00DD2118" w:rsidRPr="00393415" w:rsidRDefault="00DD2118" w:rsidP="00803E38">
      <w:pPr>
        <w:spacing w:after="0" w:line="360" w:lineRule="auto"/>
        <w:jc w:val="both"/>
        <w:rPr>
          <w:rFonts w:cs="Arial"/>
          <w:sz w:val="24"/>
          <w:szCs w:val="24"/>
        </w:rPr>
      </w:pPr>
    </w:p>
    <w:p w14:paraId="7306FC13" w14:textId="77777777" w:rsidR="00DD2118" w:rsidRPr="00022D09" w:rsidRDefault="00DD2118" w:rsidP="00803E38">
      <w:pPr>
        <w:spacing w:line="360" w:lineRule="auto"/>
        <w:jc w:val="both"/>
        <w:rPr>
          <w:b/>
          <w:sz w:val="24"/>
          <w:szCs w:val="24"/>
        </w:rPr>
      </w:pPr>
      <w:r w:rsidRPr="00022D09">
        <w:rPr>
          <w:b/>
          <w:sz w:val="24"/>
          <w:szCs w:val="24"/>
        </w:rPr>
        <w:t xml:space="preserve">Ends </w:t>
      </w:r>
    </w:p>
    <w:p w14:paraId="14F657F2" w14:textId="5AB7D65C" w:rsidR="00D605AB" w:rsidRDefault="00D605AB" w:rsidP="00803E38">
      <w:pPr>
        <w:spacing w:line="360" w:lineRule="auto"/>
        <w:jc w:val="both"/>
        <w:rPr>
          <w:b/>
          <w:sz w:val="24"/>
          <w:szCs w:val="24"/>
        </w:rPr>
      </w:pPr>
    </w:p>
    <w:p w14:paraId="59A76B3A" w14:textId="01F89963" w:rsidR="00952C53" w:rsidRDefault="00952C53" w:rsidP="00803E38">
      <w:pPr>
        <w:spacing w:line="360" w:lineRule="auto"/>
        <w:jc w:val="both"/>
        <w:rPr>
          <w:b/>
          <w:sz w:val="24"/>
          <w:szCs w:val="24"/>
        </w:rPr>
      </w:pPr>
      <w:r>
        <w:rPr>
          <w:b/>
          <w:sz w:val="24"/>
          <w:szCs w:val="24"/>
        </w:rPr>
        <w:t>Additional note</w:t>
      </w:r>
    </w:p>
    <w:p w14:paraId="6A0CB8FF" w14:textId="77777777" w:rsidR="00952C53" w:rsidRDefault="00952C53" w:rsidP="00952C53">
      <w:pPr>
        <w:autoSpaceDE w:val="0"/>
        <w:autoSpaceDN w:val="0"/>
        <w:adjustRightInd w:val="0"/>
        <w:spacing w:after="0" w:line="360" w:lineRule="auto"/>
        <w:jc w:val="both"/>
        <w:rPr>
          <w:sz w:val="24"/>
          <w:szCs w:val="24"/>
        </w:rPr>
      </w:pPr>
      <w:r>
        <w:rPr>
          <w:sz w:val="24"/>
          <w:szCs w:val="24"/>
        </w:rPr>
        <w:t>In an answer to a parliamentary question on March 6</w:t>
      </w:r>
      <w:r>
        <w:rPr>
          <w:sz w:val="24"/>
          <w:szCs w:val="24"/>
          <w:vertAlign w:val="superscript"/>
        </w:rPr>
        <w:t>th</w:t>
      </w:r>
      <w:proofErr w:type="gramStart"/>
      <w:r>
        <w:rPr>
          <w:sz w:val="24"/>
          <w:szCs w:val="24"/>
        </w:rPr>
        <w:t xml:space="preserve"> 2019</w:t>
      </w:r>
      <w:proofErr w:type="gramEnd"/>
      <w:r>
        <w:rPr>
          <w:sz w:val="24"/>
          <w:szCs w:val="24"/>
        </w:rPr>
        <w:t>, the Minister for Education and Skills stated that</w:t>
      </w:r>
    </w:p>
    <w:p w14:paraId="0521F704" w14:textId="77777777" w:rsidR="00952C53" w:rsidRDefault="00952C53" w:rsidP="00952C53">
      <w:pPr>
        <w:autoSpaceDE w:val="0"/>
        <w:autoSpaceDN w:val="0"/>
        <w:adjustRightInd w:val="0"/>
        <w:spacing w:after="0" w:line="360" w:lineRule="auto"/>
        <w:jc w:val="both"/>
        <w:rPr>
          <w:sz w:val="24"/>
          <w:szCs w:val="24"/>
        </w:rPr>
      </w:pPr>
      <w:r>
        <w:rPr>
          <w:sz w:val="24"/>
          <w:szCs w:val="24"/>
        </w:rPr>
        <w:t>“</w:t>
      </w:r>
      <w:r>
        <w:rPr>
          <w:i/>
          <w:sz w:val="24"/>
          <w:szCs w:val="24"/>
        </w:rPr>
        <w:t>Legal advice provided to the Department also indicated that the EPSEN Act, as it is currently constituted, may not be implemented on a phased, or age cohort, basis</w:t>
      </w:r>
      <w:r>
        <w:rPr>
          <w:sz w:val="24"/>
          <w:szCs w:val="24"/>
        </w:rPr>
        <w:t xml:space="preserve">.” </w:t>
      </w:r>
    </w:p>
    <w:p w14:paraId="030E08E8" w14:textId="77777777" w:rsidR="00952C53" w:rsidRDefault="00952C53" w:rsidP="00952C53">
      <w:pPr>
        <w:autoSpaceDE w:val="0"/>
        <w:autoSpaceDN w:val="0"/>
        <w:adjustRightInd w:val="0"/>
        <w:spacing w:after="0" w:line="360" w:lineRule="auto"/>
        <w:jc w:val="both"/>
        <w:rPr>
          <w:sz w:val="24"/>
          <w:szCs w:val="24"/>
        </w:rPr>
      </w:pPr>
      <w:r>
        <w:rPr>
          <w:sz w:val="24"/>
          <w:szCs w:val="24"/>
        </w:rPr>
        <w:t>The same parliamentary answer also stated that</w:t>
      </w:r>
    </w:p>
    <w:p w14:paraId="4C786573" w14:textId="77777777" w:rsidR="00952C53" w:rsidRDefault="00952C53" w:rsidP="00952C53">
      <w:pPr>
        <w:autoSpaceDE w:val="0"/>
        <w:autoSpaceDN w:val="0"/>
        <w:adjustRightInd w:val="0"/>
        <w:spacing w:after="0" w:line="360" w:lineRule="auto"/>
        <w:jc w:val="both"/>
        <w:rPr>
          <w:sz w:val="24"/>
          <w:szCs w:val="24"/>
        </w:rPr>
      </w:pPr>
      <w:r>
        <w:rPr>
          <w:sz w:val="24"/>
          <w:szCs w:val="24"/>
        </w:rPr>
        <w:t>“</w:t>
      </w:r>
      <w:r>
        <w:rPr>
          <w:i/>
          <w:sz w:val="24"/>
          <w:szCs w:val="24"/>
        </w:rPr>
        <w:t>The view of the Department was that the level of investment required</w:t>
      </w:r>
      <w:r>
        <w:rPr>
          <w:sz w:val="24"/>
          <w:szCs w:val="24"/>
        </w:rPr>
        <w:t xml:space="preserve"> (to fully implement EPSEN) </w:t>
      </w:r>
      <w:r>
        <w:rPr>
          <w:i/>
          <w:sz w:val="24"/>
          <w:szCs w:val="24"/>
        </w:rPr>
        <w:t>could be significantly greater than that envisaged</w:t>
      </w:r>
      <w:r>
        <w:rPr>
          <w:sz w:val="24"/>
          <w:szCs w:val="24"/>
        </w:rPr>
        <w:t>” in 2006 i.e. €235m per annum.</w:t>
      </w:r>
    </w:p>
    <w:p w14:paraId="392128A2" w14:textId="77777777" w:rsidR="00952C53" w:rsidRDefault="00952C53" w:rsidP="00803E38">
      <w:pPr>
        <w:spacing w:line="360" w:lineRule="auto"/>
        <w:jc w:val="both"/>
        <w:rPr>
          <w:b/>
          <w:sz w:val="24"/>
          <w:szCs w:val="24"/>
        </w:rPr>
      </w:pPr>
    </w:p>
    <w:p w14:paraId="5DBE0E00" w14:textId="77777777" w:rsidR="00022D09" w:rsidRDefault="00022D09">
      <w:pPr>
        <w:rPr>
          <w:rFonts w:ascii="Calibri" w:hAnsi="Calibri"/>
          <w:b/>
          <w:sz w:val="28"/>
          <w:szCs w:val="28"/>
        </w:rPr>
      </w:pPr>
      <w:r>
        <w:rPr>
          <w:rFonts w:ascii="Calibri" w:hAnsi="Calibri"/>
          <w:b/>
          <w:sz w:val="28"/>
          <w:szCs w:val="28"/>
        </w:rPr>
        <w:br w:type="page"/>
      </w:r>
    </w:p>
    <w:p w14:paraId="4F888192" w14:textId="74CFAA1D" w:rsidR="009E49C9" w:rsidRPr="00022D09" w:rsidRDefault="009E49C9" w:rsidP="00022D09">
      <w:pPr>
        <w:spacing w:line="360" w:lineRule="auto"/>
        <w:jc w:val="both"/>
        <w:rPr>
          <w:b/>
          <w:sz w:val="24"/>
          <w:szCs w:val="24"/>
        </w:rPr>
      </w:pPr>
      <w:r>
        <w:rPr>
          <w:rFonts w:ascii="Calibri" w:hAnsi="Calibri"/>
          <w:b/>
          <w:sz w:val="28"/>
          <w:szCs w:val="28"/>
        </w:rPr>
        <w:lastRenderedPageBreak/>
        <w:t>Appendix</w:t>
      </w:r>
    </w:p>
    <w:p w14:paraId="686B6742" w14:textId="77777777" w:rsidR="009E49C9" w:rsidRPr="00022D09" w:rsidRDefault="009E49C9" w:rsidP="00022D09">
      <w:pPr>
        <w:pStyle w:val="Pa5"/>
        <w:spacing w:line="360" w:lineRule="auto"/>
        <w:jc w:val="both"/>
        <w:rPr>
          <w:rFonts w:asciiTheme="minorHAnsi" w:hAnsiTheme="minorHAnsi" w:cs="PMJMNH+Avenir-Light"/>
          <w:color w:val="000000"/>
        </w:rPr>
      </w:pPr>
      <w:r w:rsidRPr="00022D09">
        <w:rPr>
          <w:rFonts w:asciiTheme="minorHAnsi" w:hAnsiTheme="minorHAnsi" w:cs="PMJMNH+Avenir-Light"/>
          <w:color w:val="000000"/>
        </w:rPr>
        <w:t>Section 9 of the Act specifies the following elements that must be contained in the IEP:</w:t>
      </w:r>
    </w:p>
    <w:p w14:paraId="7B653074" w14:textId="77777777" w:rsidR="009E49C9" w:rsidRPr="00022D09" w:rsidRDefault="009E49C9" w:rsidP="00022D09">
      <w:pPr>
        <w:pStyle w:val="Pa10"/>
        <w:spacing w:line="360" w:lineRule="auto"/>
        <w:ind w:left="420" w:hanging="420"/>
        <w:jc w:val="both"/>
        <w:rPr>
          <w:rFonts w:asciiTheme="minorHAnsi" w:hAnsiTheme="minorHAnsi" w:cs="PMJMNH+Avenir-Light"/>
          <w:color w:val="000000"/>
        </w:rPr>
      </w:pPr>
      <w:r w:rsidRPr="00022D09">
        <w:rPr>
          <w:rFonts w:asciiTheme="minorHAnsi" w:hAnsiTheme="minorHAnsi" w:cs="PMJMNH+Avenir-Light"/>
          <w:color w:val="000000"/>
        </w:rPr>
        <w:t>(a) the nature and degree of the child’s abilities, skills and talents;</w:t>
      </w:r>
    </w:p>
    <w:p w14:paraId="7400DE67" w14:textId="77777777" w:rsidR="009E49C9" w:rsidRPr="00022D09" w:rsidRDefault="009E49C9" w:rsidP="00022D09">
      <w:pPr>
        <w:pStyle w:val="Pa10"/>
        <w:spacing w:line="360" w:lineRule="auto"/>
        <w:ind w:left="420" w:hanging="420"/>
        <w:jc w:val="both"/>
        <w:rPr>
          <w:rFonts w:asciiTheme="minorHAnsi" w:hAnsiTheme="minorHAnsi" w:cs="PMJMNH+Avenir-Light"/>
          <w:color w:val="000000"/>
        </w:rPr>
      </w:pPr>
      <w:r w:rsidRPr="00022D09">
        <w:rPr>
          <w:rFonts w:asciiTheme="minorHAnsi" w:hAnsiTheme="minorHAnsi" w:cs="PMJMNH+Avenir-Light"/>
          <w:color w:val="000000"/>
        </w:rPr>
        <w:t>(b) the nature and degree of the child’s special educational needs and how those needs affect his or her educational development;</w:t>
      </w:r>
    </w:p>
    <w:p w14:paraId="606116D1" w14:textId="77777777" w:rsidR="009E49C9" w:rsidRPr="00022D09" w:rsidRDefault="009E49C9" w:rsidP="00022D09">
      <w:pPr>
        <w:pStyle w:val="Pa10"/>
        <w:spacing w:line="360" w:lineRule="auto"/>
        <w:ind w:left="420" w:hanging="420"/>
        <w:jc w:val="both"/>
        <w:rPr>
          <w:rFonts w:asciiTheme="minorHAnsi" w:hAnsiTheme="minorHAnsi" w:cs="PMJMNH+Avenir-Light"/>
          <w:color w:val="000000"/>
        </w:rPr>
      </w:pPr>
      <w:r w:rsidRPr="00022D09">
        <w:rPr>
          <w:rFonts w:asciiTheme="minorHAnsi" w:hAnsiTheme="minorHAnsi" w:cs="PMJMNH+Avenir-Light"/>
          <w:color w:val="000000"/>
        </w:rPr>
        <w:t>(c) the present level of educational performance of the child;</w:t>
      </w:r>
    </w:p>
    <w:p w14:paraId="07B54471" w14:textId="77777777" w:rsidR="009E49C9" w:rsidRPr="00022D09" w:rsidRDefault="009E49C9" w:rsidP="00022D09">
      <w:pPr>
        <w:pStyle w:val="Pa10"/>
        <w:spacing w:line="360" w:lineRule="auto"/>
        <w:ind w:left="420" w:hanging="420"/>
        <w:jc w:val="both"/>
        <w:rPr>
          <w:rFonts w:asciiTheme="minorHAnsi" w:hAnsiTheme="minorHAnsi" w:cs="PMJMNH+Avenir-Light"/>
          <w:color w:val="000000"/>
        </w:rPr>
      </w:pPr>
      <w:r w:rsidRPr="00022D09">
        <w:rPr>
          <w:rFonts w:asciiTheme="minorHAnsi" w:hAnsiTheme="minorHAnsi" w:cs="PMJMNH+Avenir-Light"/>
          <w:color w:val="000000"/>
        </w:rPr>
        <w:t>(d) the special educational needs of the child;</w:t>
      </w:r>
    </w:p>
    <w:p w14:paraId="500F67D6" w14:textId="77777777" w:rsidR="009E49C9" w:rsidRPr="00022D09" w:rsidRDefault="009E49C9" w:rsidP="00022D09">
      <w:pPr>
        <w:pStyle w:val="Pa10"/>
        <w:spacing w:line="360" w:lineRule="auto"/>
        <w:ind w:left="420" w:hanging="420"/>
        <w:jc w:val="both"/>
        <w:rPr>
          <w:rFonts w:asciiTheme="minorHAnsi" w:hAnsiTheme="minorHAnsi" w:cs="PMJMNH+Avenir-Light"/>
          <w:color w:val="000000"/>
        </w:rPr>
      </w:pPr>
      <w:r w:rsidRPr="00022D09">
        <w:rPr>
          <w:rFonts w:asciiTheme="minorHAnsi" w:hAnsiTheme="minorHAnsi" w:cs="PMJMNH+Avenir-Light"/>
          <w:color w:val="000000"/>
        </w:rPr>
        <w:t>(e) the special education and related support services to be provided to the child to enable the child to benefit from education and to participate in the life of the school;</w:t>
      </w:r>
    </w:p>
    <w:p w14:paraId="7A0F4CD6" w14:textId="77777777" w:rsidR="009E49C9" w:rsidRPr="00022D09" w:rsidRDefault="009E49C9" w:rsidP="00022D09">
      <w:pPr>
        <w:pStyle w:val="Pa10"/>
        <w:spacing w:line="360" w:lineRule="auto"/>
        <w:ind w:left="420" w:hanging="420"/>
        <w:jc w:val="both"/>
        <w:rPr>
          <w:rFonts w:asciiTheme="minorHAnsi" w:hAnsiTheme="minorHAnsi" w:cs="PMJMNH+Avenir-Light"/>
          <w:color w:val="000000"/>
        </w:rPr>
      </w:pPr>
      <w:r w:rsidRPr="00022D09">
        <w:rPr>
          <w:rFonts w:asciiTheme="minorHAnsi" w:hAnsiTheme="minorHAnsi" w:cs="PMJMNH+Avenir-Light"/>
          <w:color w:val="000000"/>
        </w:rPr>
        <w:t>(f) where appropriate, the special education and related services to be provided to the child to enable the child to effectively make the transition from pre-school education to primary school education;</w:t>
      </w:r>
    </w:p>
    <w:p w14:paraId="3803B49D" w14:textId="77777777" w:rsidR="009E49C9" w:rsidRPr="00022D09" w:rsidRDefault="009E49C9" w:rsidP="00022D09">
      <w:pPr>
        <w:pStyle w:val="Pa10"/>
        <w:spacing w:line="360" w:lineRule="auto"/>
        <w:ind w:left="420" w:hanging="420"/>
        <w:jc w:val="both"/>
        <w:rPr>
          <w:rFonts w:asciiTheme="minorHAnsi" w:hAnsiTheme="minorHAnsi" w:cs="PMJMNH+Avenir-Light"/>
          <w:color w:val="000000"/>
        </w:rPr>
      </w:pPr>
      <w:r w:rsidRPr="00022D09">
        <w:rPr>
          <w:rFonts w:asciiTheme="minorHAnsi" w:hAnsiTheme="minorHAnsi" w:cs="PMJMNH+Avenir-Light"/>
          <w:color w:val="000000"/>
        </w:rPr>
        <w:t xml:space="preserve">(g) where appropriate, the special education and related support services to be provided to the child to enable the child to effectively make the transition from primary school education to post-primary school education, and </w:t>
      </w:r>
    </w:p>
    <w:p w14:paraId="2A229360" w14:textId="77777777" w:rsidR="009E49C9" w:rsidRPr="00022D09" w:rsidRDefault="009E49C9" w:rsidP="00022D09">
      <w:pPr>
        <w:spacing w:after="375" w:line="360" w:lineRule="auto"/>
        <w:jc w:val="both"/>
        <w:textAlignment w:val="top"/>
        <w:rPr>
          <w:rFonts w:cs="PMJMNH+Avenir-Light"/>
          <w:color w:val="000000"/>
          <w:sz w:val="24"/>
          <w:szCs w:val="24"/>
        </w:rPr>
      </w:pPr>
      <w:r w:rsidRPr="00022D09">
        <w:rPr>
          <w:rFonts w:cs="PMJMNH+Avenir-Light"/>
          <w:color w:val="000000"/>
          <w:sz w:val="24"/>
          <w:szCs w:val="24"/>
        </w:rPr>
        <w:t xml:space="preserve">(h) the goals which the child is to achieve over a period not exceeding 12 months”. </w:t>
      </w:r>
    </w:p>
    <w:p w14:paraId="4642C4EE" w14:textId="77777777" w:rsidR="009E49C9" w:rsidRPr="00022D09" w:rsidRDefault="009E49C9" w:rsidP="00022D09">
      <w:pPr>
        <w:spacing w:line="360" w:lineRule="auto"/>
        <w:jc w:val="both"/>
        <w:rPr>
          <w:rFonts w:eastAsia="Times New Roman" w:cs="Helvetica"/>
          <w:color w:val="333333"/>
          <w:sz w:val="24"/>
          <w:szCs w:val="24"/>
          <w:lang w:val="en-GB" w:eastAsia="en-IE"/>
        </w:rPr>
      </w:pPr>
    </w:p>
    <w:p w14:paraId="3318A2BA" w14:textId="77777777" w:rsidR="00022D09" w:rsidRDefault="00022D09">
      <w:pPr>
        <w:rPr>
          <w:rFonts w:ascii="Calibri" w:hAnsi="Calibri"/>
          <w:b/>
          <w:sz w:val="28"/>
          <w:szCs w:val="28"/>
        </w:rPr>
      </w:pPr>
      <w:r>
        <w:rPr>
          <w:rFonts w:ascii="Calibri" w:hAnsi="Calibri"/>
          <w:b/>
          <w:sz w:val="28"/>
          <w:szCs w:val="28"/>
        </w:rPr>
        <w:br w:type="page"/>
      </w:r>
    </w:p>
    <w:p w14:paraId="7BA9031B" w14:textId="5F2BEC64" w:rsidR="00343415" w:rsidRPr="00343415" w:rsidRDefault="00343415" w:rsidP="009E49C9">
      <w:pPr>
        <w:spacing w:line="360" w:lineRule="auto"/>
        <w:jc w:val="both"/>
        <w:rPr>
          <w:rFonts w:ascii="Calibri" w:hAnsi="Calibri"/>
          <w:b/>
          <w:sz w:val="28"/>
          <w:szCs w:val="28"/>
        </w:rPr>
      </w:pPr>
      <w:r w:rsidRPr="00343415">
        <w:rPr>
          <w:rFonts w:ascii="Calibri" w:hAnsi="Calibri"/>
          <w:b/>
          <w:sz w:val="28"/>
          <w:szCs w:val="28"/>
        </w:rPr>
        <w:lastRenderedPageBreak/>
        <w:t>Glossary</w:t>
      </w:r>
    </w:p>
    <w:p w14:paraId="5AC4535E"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C&amp;C</w:t>
      </w:r>
      <w:r w:rsidRPr="00343415">
        <w:rPr>
          <w:rFonts w:ascii="Calibri" w:hAnsi="Calibri"/>
          <w:sz w:val="24"/>
          <w:szCs w:val="24"/>
        </w:rPr>
        <w:tab/>
      </w:r>
      <w:r w:rsidRPr="00343415">
        <w:rPr>
          <w:rFonts w:ascii="Calibri" w:hAnsi="Calibri"/>
          <w:sz w:val="24"/>
          <w:szCs w:val="24"/>
        </w:rPr>
        <w:tab/>
        <w:t>Community and Comprehensive</w:t>
      </w:r>
    </w:p>
    <w:p w14:paraId="38BF2B4B"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DES</w:t>
      </w:r>
      <w:r w:rsidRPr="00343415">
        <w:rPr>
          <w:rFonts w:ascii="Calibri" w:hAnsi="Calibri"/>
          <w:sz w:val="24"/>
          <w:szCs w:val="24"/>
        </w:rPr>
        <w:tab/>
      </w:r>
      <w:r w:rsidRPr="00343415">
        <w:rPr>
          <w:rFonts w:ascii="Calibri" w:hAnsi="Calibri"/>
          <w:sz w:val="24"/>
          <w:szCs w:val="24"/>
        </w:rPr>
        <w:tab/>
        <w:t>Department of Education and Skills</w:t>
      </w:r>
    </w:p>
    <w:p w14:paraId="4C237AE3"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EPSEN</w:t>
      </w:r>
      <w:r w:rsidRPr="00343415">
        <w:rPr>
          <w:rFonts w:ascii="Calibri" w:hAnsi="Calibri"/>
          <w:sz w:val="24"/>
          <w:szCs w:val="24"/>
        </w:rPr>
        <w:tab/>
      </w:r>
      <w:r w:rsidRPr="00343415">
        <w:rPr>
          <w:rFonts w:ascii="Calibri" w:hAnsi="Calibri"/>
          <w:sz w:val="24"/>
          <w:szCs w:val="24"/>
        </w:rPr>
        <w:tab/>
        <w:t>Education for Persons with Special Educational Needs</w:t>
      </w:r>
    </w:p>
    <w:p w14:paraId="70F9DB3E"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ETB</w:t>
      </w:r>
      <w:r w:rsidRPr="00343415">
        <w:rPr>
          <w:rFonts w:ascii="Calibri" w:hAnsi="Calibri"/>
          <w:sz w:val="24"/>
          <w:szCs w:val="24"/>
        </w:rPr>
        <w:tab/>
      </w:r>
      <w:r w:rsidRPr="00343415">
        <w:rPr>
          <w:rFonts w:ascii="Calibri" w:hAnsi="Calibri"/>
          <w:sz w:val="24"/>
          <w:szCs w:val="24"/>
        </w:rPr>
        <w:tab/>
        <w:t>Education and Training Board</w:t>
      </w:r>
    </w:p>
    <w:p w14:paraId="21925B7C" w14:textId="77777777" w:rsidR="00022D09" w:rsidRDefault="00022D09" w:rsidP="00343415">
      <w:pPr>
        <w:spacing w:line="360" w:lineRule="auto"/>
        <w:jc w:val="both"/>
        <w:rPr>
          <w:rFonts w:ascii="Calibri" w:hAnsi="Calibri"/>
          <w:sz w:val="24"/>
          <w:szCs w:val="24"/>
        </w:rPr>
      </w:pPr>
      <w:r>
        <w:rPr>
          <w:rFonts w:ascii="Calibri" w:hAnsi="Calibri"/>
          <w:sz w:val="24"/>
          <w:szCs w:val="24"/>
        </w:rPr>
        <w:t>IEP</w:t>
      </w:r>
      <w:r>
        <w:rPr>
          <w:rFonts w:ascii="Calibri" w:hAnsi="Calibri"/>
          <w:sz w:val="24"/>
          <w:szCs w:val="24"/>
        </w:rPr>
        <w:tab/>
      </w:r>
      <w:r>
        <w:rPr>
          <w:rFonts w:ascii="Calibri" w:hAnsi="Calibri"/>
          <w:sz w:val="24"/>
          <w:szCs w:val="24"/>
        </w:rPr>
        <w:tab/>
        <w:t>Individual Education Plan</w:t>
      </w:r>
    </w:p>
    <w:p w14:paraId="1C0BC92C" w14:textId="07AA0BC6"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NCSE</w:t>
      </w:r>
      <w:r w:rsidRPr="00343415">
        <w:rPr>
          <w:rFonts w:ascii="Calibri" w:hAnsi="Calibri"/>
          <w:sz w:val="24"/>
          <w:szCs w:val="24"/>
        </w:rPr>
        <w:tab/>
      </w:r>
      <w:r w:rsidRPr="00343415">
        <w:rPr>
          <w:rFonts w:ascii="Calibri" w:hAnsi="Calibri"/>
          <w:sz w:val="24"/>
          <w:szCs w:val="24"/>
        </w:rPr>
        <w:tab/>
        <w:t>National Council for Special Education</w:t>
      </w:r>
    </w:p>
    <w:p w14:paraId="0D9328E1" w14:textId="768D647F"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SEN</w:t>
      </w:r>
      <w:r w:rsidRPr="00343415">
        <w:rPr>
          <w:rFonts w:ascii="Calibri" w:hAnsi="Calibri"/>
          <w:sz w:val="24"/>
          <w:szCs w:val="24"/>
        </w:rPr>
        <w:tab/>
      </w:r>
      <w:r w:rsidRPr="00343415">
        <w:rPr>
          <w:rFonts w:ascii="Calibri" w:hAnsi="Calibri"/>
          <w:sz w:val="24"/>
          <w:szCs w:val="24"/>
        </w:rPr>
        <w:tab/>
        <w:t>Special Educational Needs</w:t>
      </w:r>
    </w:p>
    <w:p w14:paraId="04A9CDDD"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SNA</w:t>
      </w:r>
      <w:r w:rsidRPr="00343415">
        <w:rPr>
          <w:rFonts w:ascii="Calibri" w:hAnsi="Calibri"/>
          <w:sz w:val="24"/>
          <w:szCs w:val="24"/>
        </w:rPr>
        <w:tab/>
      </w:r>
      <w:r w:rsidRPr="00343415">
        <w:rPr>
          <w:rFonts w:ascii="Calibri" w:hAnsi="Calibri"/>
          <w:sz w:val="24"/>
          <w:szCs w:val="24"/>
        </w:rPr>
        <w:tab/>
        <w:t>Special Needs Assistant</w:t>
      </w:r>
    </w:p>
    <w:p w14:paraId="3EAE4176" w14:textId="77777777" w:rsidR="00343415" w:rsidRPr="00343415" w:rsidRDefault="00343415" w:rsidP="00343415">
      <w:pPr>
        <w:spacing w:line="360" w:lineRule="auto"/>
        <w:jc w:val="both"/>
        <w:rPr>
          <w:rFonts w:ascii="Calibri" w:hAnsi="Calibri"/>
          <w:sz w:val="24"/>
          <w:szCs w:val="24"/>
        </w:rPr>
      </w:pPr>
      <w:r w:rsidRPr="00343415">
        <w:rPr>
          <w:rFonts w:ascii="Calibri" w:hAnsi="Calibri"/>
          <w:sz w:val="24"/>
          <w:szCs w:val="24"/>
        </w:rPr>
        <w:t>TUI</w:t>
      </w:r>
      <w:r w:rsidRPr="00343415">
        <w:rPr>
          <w:rFonts w:ascii="Calibri" w:hAnsi="Calibri"/>
          <w:sz w:val="24"/>
          <w:szCs w:val="24"/>
        </w:rPr>
        <w:tab/>
      </w:r>
      <w:r w:rsidRPr="00343415">
        <w:rPr>
          <w:rFonts w:ascii="Calibri" w:hAnsi="Calibri"/>
          <w:sz w:val="24"/>
          <w:szCs w:val="24"/>
        </w:rPr>
        <w:tab/>
        <w:t>Teachers’ Union of Ireland</w:t>
      </w:r>
    </w:p>
    <w:p w14:paraId="3E1234B2" w14:textId="68A6DDCC" w:rsidR="00343415" w:rsidRPr="00343415" w:rsidRDefault="00343415" w:rsidP="00343415">
      <w:pPr>
        <w:rPr>
          <w:rFonts w:ascii="Calibri" w:hAnsi="Calibri"/>
          <w:b/>
          <w:sz w:val="24"/>
          <w:szCs w:val="24"/>
        </w:rPr>
      </w:pPr>
    </w:p>
    <w:sectPr w:rsidR="00343415" w:rsidRPr="0034341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A84F5" w14:textId="77777777" w:rsidR="00A46452" w:rsidRDefault="00A46452" w:rsidP="0084145C">
      <w:pPr>
        <w:spacing w:after="0" w:line="240" w:lineRule="auto"/>
      </w:pPr>
      <w:r>
        <w:separator/>
      </w:r>
    </w:p>
  </w:endnote>
  <w:endnote w:type="continuationSeparator" w:id="0">
    <w:p w14:paraId="58F7C0B4" w14:textId="77777777" w:rsidR="00A46452" w:rsidRDefault="00A46452" w:rsidP="0084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PMJMNH+Avenir-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89662"/>
      <w:docPartObj>
        <w:docPartGallery w:val="Page Numbers (Bottom of Page)"/>
        <w:docPartUnique/>
      </w:docPartObj>
    </w:sdtPr>
    <w:sdtEndPr>
      <w:rPr>
        <w:noProof/>
      </w:rPr>
    </w:sdtEndPr>
    <w:sdtContent>
      <w:p w14:paraId="6901D8CA" w14:textId="655B4902" w:rsidR="00850121" w:rsidRDefault="00850121">
        <w:pPr>
          <w:pStyle w:val="Footer"/>
          <w:jc w:val="right"/>
        </w:pPr>
        <w:r>
          <w:fldChar w:fldCharType="begin"/>
        </w:r>
        <w:r>
          <w:instrText xml:space="preserve"> PAGE   \* MERGEFORMAT </w:instrText>
        </w:r>
        <w:r>
          <w:fldChar w:fldCharType="separate"/>
        </w:r>
        <w:r w:rsidR="005B6EFF">
          <w:rPr>
            <w:noProof/>
          </w:rPr>
          <w:t>15</w:t>
        </w:r>
        <w:r>
          <w:rPr>
            <w:noProof/>
          </w:rPr>
          <w:fldChar w:fldCharType="end"/>
        </w:r>
      </w:p>
    </w:sdtContent>
  </w:sdt>
  <w:p w14:paraId="06582505" w14:textId="77777777" w:rsidR="00850121" w:rsidRDefault="0085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BBE7F" w14:textId="77777777" w:rsidR="00A46452" w:rsidRDefault="00A46452" w:rsidP="0084145C">
      <w:pPr>
        <w:spacing w:after="0" w:line="240" w:lineRule="auto"/>
      </w:pPr>
      <w:r>
        <w:separator/>
      </w:r>
    </w:p>
  </w:footnote>
  <w:footnote w:type="continuationSeparator" w:id="0">
    <w:p w14:paraId="00E893F1" w14:textId="77777777" w:rsidR="00A46452" w:rsidRDefault="00A46452" w:rsidP="008414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771"/>
    <w:multiLevelType w:val="hybridMultilevel"/>
    <w:tmpl w:val="467E9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01666C"/>
    <w:multiLevelType w:val="hybridMultilevel"/>
    <w:tmpl w:val="1C1CB2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8E0B9D"/>
    <w:multiLevelType w:val="hybridMultilevel"/>
    <w:tmpl w:val="6B0C4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13534"/>
    <w:multiLevelType w:val="hybridMultilevel"/>
    <w:tmpl w:val="7368C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FE499C"/>
    <w:multiLevelType w:val="hybridMultilevel"/>
    <w:tmpl w:val="54966D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1453DE"/>
    <w:multiLevelType w:val="multilevel"/>
    <w:tmpl w:val="63CE4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2352FD1"/>
    <w:multiLevelType w:val="hybridMultilevel"/>
    <w:tmpl w:val="424E08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372DAF"/>
    <w:multiLevelType w:val="hybridMultilevel"/>
    <w:tmpl w:val="6AE68806"/>
    <w:lvl w:ilvl="0" w:tplc="D396B788">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01679D"/>
    <w:multiLevelType w:val="hybridMultilevel"/>
    <w:tmpl w:val="74C4F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F09FF"/>
    <w:multiLevelType w:val="hybridMultilevel"/>
    <w:tmpl w:val="4FC6C5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750065"/>
    <w:multiLevelType w:val="hybridMultilevel"/>
    <w:tmpl w:val="9AEE2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62B3B96"/>
    <w:multiLevelType w:val="hybridMultilevel"/>
    <w:tmpl w:val="6CA2F170"/>
    <w:lvl w:ilvl="0" w:tplc="F88A4EE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04E0D"/>
    <w:multiLevelType w:val="hybridMultilevel"/>
    <w:tmpl w:val="0032B90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E19263"/>
    <w:multiLevelType w:val="hybridMultilevel"/>
    <w:tmpl w:val="FFE0882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B4E448D"/>
    <w:multiLevelType w:val="multilevel"/>
    <w:tmpl w:val="10F29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727F4A"/>
    <w:multiLevelType w:val="multilevel"/>
    <w:tmpl w:val="132A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910C87"/>
    <w:multiLevelType w:val="hybridMultilevel"/>
    <w:tmpl w:val="B2587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C29512A"/>
    <w:multiLevelType w:val="hybridMultilevel"/>
    <w:tmpl w:val="137A79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E860FEF"/>
    <w:multiLevelType w:val="hybridMultilevel"/>
    <w:tmpl w:val="C9402A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41709B7"/>
    <w:multiLevelType w:val="hybridMultilevel"/>
    <w:tmpl w:val="C4D005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67B59EB"/>
    <w:multiLevelType w:val="hybridMultilevel"/>
    <w:tmpl w:val="9582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CE0205C"/>
    <w:multiLevelType w:val="hybridMultilevel"/>
    <w:tmpl w:val="3040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0DA1BC9"/>
    <w:multiLevelType w:val="hybridMultilevel"/>
    <w:tmpl w:val="63924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2933F67"/>
    <w:multiLevelType w:val="hybridMultilevel"/>
    <w:tmpl w:val="A4C6EB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6141E9B"/>
    <w:multiLevelType w:val="hybridMultilevel"/>
    <w:tmpl w:val="AD32C1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22"/>
  </w:num>
  <w:num w:numId="5">
    <w:abstractNumId w:val="19"/>
  </w:num>
  <w:num w:numId="6">
    <w:abstractNumId w:val="2"/>
  </w:num>
  <w:num w:numId="7">
    <w:abstractNumId w:val="8"/>
  </w:num>
  <w:num w:numId="8">
    <w:abstractNumId w:val="18"/>
  </w:num>
  <w:num w:numId="9">
    <w:abstractNumId w:val="11"/>
  </w:num>
  <w:num w:numId="10">
    <w:abstractNumId w:val="24"/>
  </w:num>
  <w:num w:numId="11">
    <w:abstractNumId w:val="14"/>
  </w:num>
  <w:num w:numId="12">
    <w:abstractNumId w:val="0"/>
  </w:num>
  <w:num w:numId="13">
    <w:abstractNumId w:val="21"/>
  </w:num>
  <w:num w:numId="14">
    <w:abstractNumId w:val="5"/>
  </w:num>
  <w:num w:numId="15">
    <w:abstractNumId w:val="3"/>
  </w:num>
  <w:num w:numId="16">
    <w:abstractNumId w:val="23"/>
  </w:num>
  <w:num w:numId="17">
    <w:abstractNumId w:val="13"/>
  </w:num>
  <w:num w:numId="18">
    <w:abstractNumId w:val="7"/>
  </w:num>
  <w:num w:numId="19">
    <w:abstractNumId w:val="6"/>
  </w:num>
  <w:num w:numId="20">
    <w:abstractNumId w:val="20"/>
  </w:num>
  <w:num w:numId="21">
    <w:abstractNumId w:val="17"/>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4"/>
    <w:rsid w:val="00001F6F"/>
    <w:rsid w:val="0001439D"/>
    <w:rsid w:val="00015A06"/>
    <w:rsid w:val="00017F05"/>
    <w:rsid w:val="00020DB4"/>
    <w:rsid w:val="00021C7B"/>
    <w:rsid w:val="00022D09"/>
    <w:rsid w:val="00023BC3"/>
    <w:rsid w:val="00027F0A"/>
    <w:rsid w:val="00030807"/>
    <w:rsid w:val="000478ED"/>
    <w:rsid w:val="00050223"/>
    <w:rsid w:val="000522A2"/>
    <w:rsid w:val="000541F8"/>
    <w:rsid w:val="00072A73"/>
    <w:rsid w:val="000776DA"/>
    <w:rsid w:val="000A32E3"/>
    <w:rsid w:val="000A6F33"/>
    <w:rsid w:val="000B120C"/>
    <w:rsid w:val="000B6D1B"/>
    <w:rsid w:val="000C09F6"/>
    <w:rsid w:val="000C2063"/>
    <w:rsid w:val="000D1B84"/>
    <w:rsid w:val="000D78D5"/>
    <w:rsid w:val="000E22A7"/>
    <w:rsid w:val="000E49FC"/>
    <w:rsid w:val="000F3170"/>
    <w:rsid w:val="000F52B2"/>
    <w:rsid w:val="001036F9"/>
    <w:rsid w:val="0010428C"/>
    <w:rsid w:val="00123F17"/>
    <w:rsid w:val="001456A9"/>
    <w:rsid w:val="00146738"/>
    <w:rsid w:val="001522ED"/>
    <w:rsid w:val="00167086"/>
    <w:rsid w:val="001674FA"/>
    <w:rsid w:val="0018717F"/>
    <w:rsid w:val="00190EF9"/>
    <w:rsid w:val="00192003"/>
    <w:rsid w:val="0019362F"/>
    <w:rsid w:val="00194340"/>
    <w:rsid w:val="00197292"/>
    <w:rsid w:val="001A0ED8"/>
    <w:rsid w:val="001A568E"/>
    <w:rsid w:val="001A6DAB"/>
    <w:rsid w:val="001B02CC"/>
    <w:rsid w:val="001C34E3"/>
    <w:rsid w:val="001C4AAE"/>
    <w:rsid w:val="001D412D"/>
    <w:rsid w:val="001D54F1"/>
    <w:rsid w:val="001F0BE5"/>
    <w:rsid w:val="001F538B"/>
    <w:rsid w:val="001F67A6"/>
    <w:rsid w:val="001F6FFD"/>
    <w:rsid w:val="00225FFB"/>
    <w:rsid w:val="00230828"/>
    <w:rsid w:val="00231D02"/>
    <w:rsid w:val="002441BD"/>
    <w:rsid w:val="00244472"/>
    <w:rsid w:val="0024520B"/>
    <w:rsid w:val="00246EE2"/>
    <w:rsid w:val="00251BA4"/>
    <w:rsid w:val="00261757"/>
    <w:rsid w:val="00261D19"/>
    <w:rsid w:val="00264A89"/>
    <w:rsid w:val="002672FF"/>
    <w:rsid w:val="0027542B"/>
    <w:rsid w:val="00280F55"/>
    <w:rsid w:val="00282CA3"/>
    <w:rsid w:val="00290384"/>
    <w:rsid w:val="00293524"/>
    <w:rsid w:val="00296F39"/>
    <w:rsid w:val="002A4C09"/>
    <w:rsid w:val="002A569F"/>
    <w:rsid w:val="002B16C3"/>
    <w:rsid w:val="002B2B58"/>
    <w:rsid w:val="002B3562"/>
    <w:rsid w:val="002B50B8"/>
    <w:rsid w:val="002B7C4F"/>
    <w:rsid w:val="002D6B85"/>
    <w:rsid w:val="002E13B8"/>
    <w:rsid w:val="002E490F"/>
    <w:rsid w:val="002E553B"/>
    <w:rsid w:val="002F2AD1"/>
    <w:rsid w:val="00307FF5"/>
    <w:rsid w:val="00311F72"/>
    <w:rsid w:val="00313B2E"/>
    <w:rsid w:val="0031492A"/>
    <w:rsid w:val="00324B70"/>
    <w:rsid w:val="00342A57"/>
    <w:rsid w:val="00343415"/>
    <w:rsid w:val="003500DD"/>
    <w:rsid w:val="003505F9"/>
    <w:rsid w:val="00353E75"/>
    <w:rsid w:val="00360849"/>
    <w:rsid w:val="00366017"/>
    <w:rsid w:val="003662F4"/>
    <w:rsid w:val="003662FD"/>
    <w:rsid w:val="00366E5C"/>
    <w:rsid w:val="00367268"/>
    <w:rsid w:val="00371A29"/>
    <w:rsid w:val="00373B48"/>
    <w:rsid w:val="00377B55"/>
    <w:rsid w:val="00384E4F"/>
    <w:rsid w:val="00390C85"/>
    <w:rsid w:val="00393415"/>
    <w:rsid w:val="003A3A98"/>
    <w:rsid w:val="003A3C5D"/>
    <w:rsid w:val="003A69DE"/>
    <w:rsid w:val="003B07B6"/>
    <w:rsid w:val="003B3F90"/>
    <w:rsid w:val="003C18DB"/>
    <w:rsid w:val="003C5798"/>
    <w:rsid w:val="003C7AE0"/>
    <w:rsid w:val="003D29AE"/>
    <w:rsid w:val="003D4A25"/>
    <w:rsid w:val="003D570A"/>
    <w:rsid w:val="003E72AD"/>
    <w:rsid w:val="003F0DF3"/>
    <w:rsid w:val="003F14EB"/>
    <w:rsid w:val="00406327"/>
    <w:rsid w:val="0041104C"/>
    <w:rsid w:val="0042135E"/>
    <w:rsid w:val="004304DC"/>
    <w:rsid w:val="004341CF"/>
    <w:rsid w:val="0044191D"/>
    <w:rsid w:val="00453BBB"/>
    <w:rsid w:val="00461262"/>
    <w:rsid w:val="004677D3"/>
    <w:rsid w:val="00472ABE"/>
    <w:rsid w:val="004736C8"/>
    <w:rsid w:val="00475683"/>
    <w:rsid w:val="00487B33"/>
    <w:rsid w:val="00490A52"/>
    <w:rsid w:val="004965AF"/>
    <w:rsid w:val="004A3AAE"/>
    <w:rsid w:val="004B2784"/>
    <w:rsid w:val="004B3052"/>
    <w:rsid w:val="004C2737"/>
    <w:rsid w:val="004C28C8"/>
    <w:rsid w:val="004D7897"/>
    <w:rsid w:val="004E491E"/>
    <w:rsid w:val="004F1A3F"/>
    <w:rsid w:val="00506CEF"/>
    <w:rsid w:val="00511876"/>
    <w:rsid w:val="005160BD"/>
    <w:rsid w:val="00535981"/>
    <w:rsid w:val="00536904"/>
    <w:rsid w:val="005405CD"/>
    <w:rsid w:val="0055078D"/>
    <w:rsid w:val="0055122A"/>
    <w:rsid w:val="00554298"/>
    <w:rsid w:val="0055506C"/>
    <w:rsid w:val="00560B54"/>
    <w:rsid w:val="005652BB"/>
    <w:rsid w:val="00577038"/>
    <w:rsid w:val="00581260"/>
    <w:rsid w:val="00584363"/>
    <w:rsid w:val="00586FD1"/>
    <w:rsid w:val="00592A08"/>
    <w:rsid w:val="005A57C0"/>
    <w:rsid w:val="005B6EFF"/>
    <w:rsid w:val="005C6CA4"/>
    <w:rsid w:val="005D130F"/>
    <w:rsid w:val="005E018E"/>
    <w:rsid w:val="005E3702"/>
    <w:rsid w:val="005F1A07"/>
    <w:rsid w:val="005F718F"/>
    <w:rsid w:val="00605C91"/>
    <w:rsid w:val="006073AF"/>
    <w:rsid w:val="0061555D"/>
    <w:rsid w:val="00647F93"/>
    <w:rsid w:val="006513EF"/>
    <w:rsid w:val="006543E9"/>
    <w:rsid w:val="00655DA1"/>
    <w:rsid w:val="0068149A"/>
    <w:rsid w:val="0068345F"/>
    <w:rsid w:val="00693C7E"/>
    <w:rsid w:val="00695428"/>
    <w:rsid w:val="0069772B"/>
    <w:rsid w:val="006A2613"/>
    <w:rsid w:val="006A3148"/>
    <w:rsid w:val="006B2416"/>
    <w:rsid w:val="006B50A4"/>
    <w:rsid w:val="006C2BF8"/>
    <w:rsid w:val="006C3BF5"/>
    <w:rsid w:val="006D0875"/>
    <w:rsid w:val="006D3B2A"/>
    <w:rsid w:val="006D6989"/>
    <w:rsid w:val="006E3D81"/>
    <w:rsid w:val="006E4C85"/>
    <w:rsid w:val="006E7344"/>
    <w:rsid w:val="006F2B71"/>
    <w:rsid w:val="006F4113"/>
    <w:rsid w:val="006F5DF0"/>
    <w:rsid w:val="007024A5"/>
    <w:rsid w:val="0071123F"/>
    <w:rsid w:val="007165AB"/>
    <w:rsid w:val="00720961"/>
    <w:rsid w:val="00722F0F"/>
    <w:rsid w:val="00744523"/>
    <w:rsid w:val="00750973"/>
    <w:rsid w:val="0076340A"/>
    <w:rsid w:val="00775B69"/>
    <w:rsid w:val="00784781"/>
    <w:rsid w:val="00784D27"/>
    <w:rsid w:val="0078685B"/>
    <w:rsid w:val="007941B9"/>
    <w:rsid w:val="00795F12"/>
    <w:rsid w:val="007A5F18"/>
    <w:rsid w:val="007B1329"/>
    <w:rsid w:val="007B4766"/>
    <w:rsid w:val="007C6EA7"/>
    <w:rsid w:val="007D5302"/>
    <w:rsid w:val="007D59D1"/>
    <w:rsid w:val="007D615C"/>
    <w:rsid w:val="007D7D5B"/>
    <w:rsid w:val="007E025D"/>
    <w:rsid w:val="007E5BC8"/>
    <w:rsid w:val="00803E38"/>
    <w:rsid w:val="00810E55"/>
    <w:rsid w:val="00811CD5"/>
    <w:rsid w:val="00826878"/>
    <w:rsid w:val="00826C52"/>
    <w:rsid w:val="008278FC"/>
    <w:rsid w:val="008313B5"/>
    <w:rsid w:val="00836D4D"/>
    <w:rsid w:val="0084145C"/>
    <w:rsid w:val="00844B02"/>
    <w:rsid w:val="00850121"/>
    <w:rsid w:val="008508B8"/>
    <w:rsid w:val="008516BA"/>
    <w:rsid w:val="00852D95"/>
    <w:rsid w:val="00855607"/>
    <w:rsid w:val="00861287"/>
    <w:rsid w:val="00866A05"/>
    <w:rsid w:val="0086770F"/>
    <w:rsid w:val="00870E5E"/>
    <w:rsid w:val="008749A9"/>
    <w:rsid w:val="00874AAB"/>
    <w:rsid w:val="00875220"/>
    <w:rsid w:val="00896153"/>
    <w:rsid w:val="008C7B1A"/>
    <w:rsid w:val="008D2348"/>
    <w:rsid w:val="008D25CF"/>
    <w:rsid w:val="008D2C23"/>
    <w:rsid w:val="008D61EF"/>
    <w:rsid w:val="008E31BF"/>
    <w:rsid w:val="008E4E8C"/>
    <w:rsid w:val="008F04C0"/>
    <w:rsid w:val="008F05C7"/>
    <w:rsid w:val="008F3896"/>
    <w:rsid w:val="008F3ABC"/>
    <w:rsid w:val="0090239F"/>
    <w:rsid w:val="00902FF6"/>
    <w:rsid w:val="00911BE1"/>
    <w:rsid w:val="00912C76"/>
    <w:rsid w:val="00915261"/>
    <w:rsid w:val="00916CAD"/>
    <w:rsid w:val="009244B3"/>
    <w:rsid w:val="0093208E"/>
    <w:rsid w:val="00933273"/>
    <w:rsid w:val="00935248"/>
    <w:rsid w:val="00945749"/>
    <w:rsid w:val="00947CD3"/>
    <w:rsid w:val="00952C53"/>
    <w:rsid w:val="0095455F"/>
    <w:rsid w:val="00957A92"/>
    <w:rsid w:val="009636DC"/>
    <w:rsid w:val="00963D08"/>
    <w:rsid w:val="00964FCE"/>
    <w:rsid w:val="0096604B"/>
    <w:rsid w:val="00970670"/>
    <w:rsid w:val="00980209"/>
    <w:rsid w:val="009833B2"/>
    <w:rsid w:val="00986C73"/>
    <w:rsid w:val="00990B58"/>
    <w:rsid w:val="009A2EA4"/>
    <w:rsid w:val="009B11C9"/>
    <w:rsid w:val="009B277A"/>
    <w:rsid w:val="009B656D"/>
    <w:rsid w:val="009C68AA"/>
    <w:rsid w:val="009D026D"/>
    <w:rsid w:val="009D331F"/>
    <w:rsid w:val="009D70E7"/>
    <w:rsid w:val="009E11A6"/>
    <w:rsid w:val="009E2540"/>
    <w:rsid w:val="009E3116"/>
    <w:rsid w:val="009E3FA1"/>
    <w:rsid w:val="009E49C9"/>
    <w:rsid w:val="009F2DB6"/>
    <w:rsid w:val="009F3034"/>
    <w:rsid w:val="009F660D"/>
    <w:rsid w:val="00A1084A"/>
    <w:rsid w:val="00A12494"/>
    <w:rsid w:val="00A1302A"/>
    <w:rsid w:val="00A145D9"/>
    <w:rsid w:val="00A175A3"/>
    <w:rsid w:val="00A21BD2"/>
    <w:rsid w:val="00A23190"/>
    <w:rsid w:val="00A35D83"/>
    <w:rsid w:val="00A43DEB"/>
    <w:rsid w:val="00A44E41"/>
    <w:rsid w:val="00A45A22"/>
    <w:rsid w:val="00A46452"/>
    <w:rsid w:val="00A54949"/>
    <w:rsid w:val="00A560A4"/>
    <w:rsid w:val="00A60D03"/>
    <w:rsid w:val="00A61C6E"/>
    <w:rsid w:val="00A61CEE"/>
    <w:rsid w:val="00A62069"/>
    <w:rsid w:val="00A74445"/>
    <w:rsid w:val="00A81D53"/>
    <w:rsid w:val="00A848C4"/>
    <w:rsid w:val="00A909F2"/>
    <w:rsid w:val="00A9600D"/>
    <w:rsid w:val="00AA1F7B"/>
    <w:rsid w:val="00AA3616"/>
    <w:rsid w:val="00AB30BB"/>
    <w:rsid w:val="00AB3990"/>
    <w:rsid w:val="00AB4A4D"/>
    <w:rsid w:val="00AC27FC"/>
    <w:rsid w:val="00AC32F0"/>
    <w:rsid w:val="00AC6A25"/>
    <w:rsid w:val="00AC6FC2"/>
    <w:rsid w:val="00AD143E"/>
    <w:rsid w:val="00AD5C80"/>
    <w:rsid w:val="00AD7A53"/>
    <w:rsid w:val="00AD7D90"/>
    <w:rsid w:val="00AE1C0A"/>
    <w:rsid w:val="00AE436E"/>
    <w:rsid w:val="00AE5DDC"/>
    <w:rsid w:val="00AE6946"/>
    <w:rsid w:val="00AE7560"/>
    <w:rsid w:val="00AF2DE2"/>
    <w:rsid w:val="00AF31A1"/>
    <w:rsid w:val="00B0011F"/>
    <w:rsid w:val="00B01995"/>
    <w:rsid w:val="00B040F2"/>
    <w:rsid w:val="00B15C62"/>
    <w:rsid w:val="00B253DD"/>
    <w:rsid w:val="00B27161"/>
    <w:rsid w:val="00B33D23"/>
    <w:rsid w:val="00B42153"/>
    <w:rsid w:val="00B45D77"/>
    <w:rsid w:val="00B50382"/>
    <w:rsid w:val="00B64AE2"/>
    <w:rsid w:val="00B76884"/>
    <w:rsid w:val="00B8749F"/>
    <w:rsid w:val="00B973D5"/>
    <w:rsid w:val="00BA3CEF"/>
    <w:rsid w:val="00BA55C0"/>
    <w:rsid w:val="00BA7E6C"/>
    <w:rsid w:val="00BB4DF2"/>
    <w:rsid w:val="00BC1F05"/>
    <w:rsid w:val="00BD0FAF"/>
    <w:rsid w:val="00BD16B5"/>
    <w:rsid w:val="00BD3F30"/>
    <w:rsid w:val="00BE62B4"/>
    <w:rsid w:val="00BF7DBD"/>
    <w:rsid w:val="00C001EE"/>
    <w:rsid w:val="00C04963"/>
    <w:rsid w:val="00C06C58"/>
    <w:rsid w:val="00C06D62"/>
    <w:rsid w:val="00C100C7"/>
    <w:rsid w:val="00C100F8"/>
    <w:rsid w:val="00C11F35"/>
    <w:rsid w:val="00C20F3D"/>
    <w:rsid w:val="00C31378"/>
    <w:rsid w:val="00C33495"/>
    <w:rsid w:val="00C41C84"/>
    <w:rsid w:val="00C454EC"/>
    <w:rsid w:val="00C51233"/>
    <w:rsid w:val="00C52657"/>
    <w:rsid w:val="00C663B6"/>
    <w:rsid w:val="00C73038"/>
    <w:rsid w:val="00C75B3A"/>
    <w:rsid w:val="00C82359"/>
    <w:rsid w:val="00C866CB"/>
    <w:rsid w:val="00C8791A"/>
    <w:rsid w:val="00C87A41"/>
    <w:rsid w:val="00C90723"/>
    <w:rsid w:val="00CA5E8A"/>
    <w:rsid w:val="00CA6AD9"/>
    <w:rsid w:val="00CA7DDA"/>
    <w:rsid w:val="00CB5799"/>
    <w:rsid w:val="00CC018B"/>
    <w:rsid w:val="00CC447F"/>
    <w:rsid w:val="00CC708E"/>
    <w:rsid w:val="00CD2806"/>
    <w:rsid w:val="00CD6054"/>
    <w:rsid w:val="00CE789D"/>
    <w:rsid w:val="00CF3F03"/>
    <w:rsid w:val="00D0111E"/>
    <w:rsid w:val="00D06190"/>
    <w:rsid w:val="00D073DC"/>
    <w:rsid w:val="00D13D90"/>
    <w:rsid w:val="00D22D32"/>
    <w:rsid w:val="00D24897"/>
    <w:rsid w:val="00D30809"/>
    <w:rsid w:val="00D33F11"/>
    <w:rsid w:val="00D354F5"/>
    <w:rsid w:val="00D41BED"/>
    <w:rsid w:val="00D5057C"/>
    <w:rsid w:val="00D51D26"/>
    <w:rsid w:val="00D55F81"/>
    <w:rsid w:val="00D56152"/>
    <w:rsid w:val="00D605AB"/>
    <w:rsid w:val="00D61DEB"/>
    <w:rsid w:val="00D660A2"/>
    <w:rsid w:val="00D67347"/>
    <w:rsid w:val="00D67F92"/>
    <w:rsid w:val="00D72497"/>
    <w:rsid w:val="00D85EDF"/>
    <w:rsid w:val="00D945AF"/>
    <w:rsid w:val="00DA146F"/>
    <w:rsid w:val="00DA2A33"/>
    <w:rsid w:val="00DA326F"/>
    <w:rsid w:val="00DC168B"/>
    <w:rsid w:val="00DC5644"/>
    <w:rsid w:val="00DD0B05"/>
    <w:rsid w:val="00DD1492"/>
    <w:rsid w:val="00DD2118"/>
    <w:rsid w:val="00DD4040"/>
    <w:rsid w:val="00DD6132"/>
    <w:rsid w:val="00DD7D59"/>
    <w:rsid w:val="00DD7D7F"/>
    <w:rsid w:val="00DE0D9A"/>
    <w:rsid w:val="00DE1D05"/>
    <w:rsid w:val="00DE3F34"/>
    <w:rsid w:val="00DF3B6B"/>
    <w:rsid w:val="00E06536"/>
    <w:rsid w:val="00E12274"/>
    <w:rsid w:val="00E12385"/>
    <w:rsid w:val="00E14640"/>
    <w:rsid w:val="00E227B8"/>
    <w:rsid w:val="00E35D62"/>
    <w:rsid w:val="00E43736"/>
    <w:rsid w:val="00E46AC7"/>
    <w:rsid w:val="00E512CE"/>
    <w:rsid w:val="00E519EA"/>
    <w:rsid w:val="00E56FE6"/>
    <w:rsid w:val="00E616B0"/>
    <w:rsid w:val="00E63D39"/>
    <w:rsid w:val="00E669D9"/>
    <w:rsid w:val="00E70C0A"/>
    <w:rsid w:val="00E73014"/>
    <w:rsid w:val="00E766EB"/>
    <w:rsid w:val="00E7790C"/>
    <w:rsid w:val="00E77AD9"/>
    <w:rsid w:val="00E854A1"/>
    <w:rsid w:val="00E9155C"/>
    <w:rsid w:val="00E952F4"/>
    <w:rsid w:val="00E967E3"/>
    <w:rsid w:val="00EC30FD"/>
    <w:rsid w:val="00EC507E"/>
    <w:rsid w:val="00ED10FA"/>
    <w:rsid w:val="00ED3A06"/>
    <w:rsid w:val="00ED64B7"/>
    <w:rsid w:val="00EE08E2"/>
    <w:rsid w:val="00EE42E6"/>
    <w:rsid w:val="00EF0CD1"/>
    <w:rsid w:val="00F0103A"/>
    <w:rsid w:val="00F0200D"/>
    <w:rsid w:val="00F07FEE"/>
    <w:rsid w:val="00F15450"/>
    <w:rsid w:val="00F2045C"/>
    <w:rsid w:val="00F20C60"/>
    <w:rsid w:val="00F25A64"/>
    <w:rsid w:val="00F45877"/>
    <w:rsid w:val="00F55F4A"/>
    <w:rsid w:val="00F56959"/>
    <w:rsid w:val="00F71F8F"/>
    <w:rsid w:val="00F737E2"/>
    <w:rsid w:val="00F73D17"/>
    <w:rsid w:val="00F8112D"/>
    <w:rsid w:val="00F91542"/>
    <w:rsid w:val="00F94EBC"/>
    <w:rsid w:val="00FA325A"/>
    <w:rsid w:val="00FA5E45"/>
    <w:rsid w:val="00FA5EF9"/>
    <w:rsid w:val="00FA6619"/>
    <w:rsid w:val="00FB37BF"/>
    <w:rsid w:val="00FB3FD8"/>
    <w:rsid w:val="00FB5A84"/>
    <w:rsid w:val="00FC34CB"/>
    <w:rsid w:val="00FC6EF4"/>
    <w:rsid w:val="00FD076E"/>
    <w:rsid w:val="00FD7A7F"/>
    <w:rsid w:val="00FE3509"/>
    <w:rsid w:val="00FF3154"/>
    <w:rsid w:val="00FF65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334"/>
  <w15:docId w15:val="{2DAD2DDD-C5FD-4633-BD94-279F723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1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73"/>
    <w:pPr>
      <w:ind w:left="720"/>
      <w:contextualSpacing/>
    </w:pPr>
  </w:style>
  <w:style w:type="paragraph" w:styleId="BalloonText">
    <w:name w:val="Balloon Text"/>
    <w:basedOn w:val="Normal"/>
    <w:link w:val="BalloonTextChar"/>
    <w:uiPriority w:val="99"/>
    <w:semiHidden/>
    <w:unhideWhenUsed/>
    <w:rsid w:val="00870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5E"/>
    <w:rPr>
      <w:rFonts w:ascii="Segoe UI" w:hAnsi="Segoe UI" w:cs="Segoe UI"/>
      <w:sz w:val="18"/>
      <w:szCs w:val="18"/>
    </w:rPr>
  </w:style>
  <w:style w:type="character" w:styleId="Hyperlink">
    <w:name w:val="Hyperlink"/>
    <w:basedOn w:val="DefaultParagraphFont"/>
    <w:uiPriority w:val="99"/>
    <w:unhideWhenUsed/>
    <w:rsid w:val="00EE42E6"/>
    <w:rPr>
      <w:color w:val="0563C1" w:themeColor="hyperlink"/>
      <w:u w:val="single"/>
    </w:rPr>
  </w:style>
  <w:style w:type="table" w:styleId="TableGrid">
    <w:name w:val="Table Grid"/>
    <w:basedOn w:val="TableNormal"/>
    <w:uiPriority w:val="39"/>
    <w:rsid w:val="007D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45C"/>
  </w:style>
  <w:style w:type="paragraph" w:styleId="Footer">
    <w:name w:val="footer"/>
    <w:basedOn w:val="Normal"/>
    <w:link w:val="FooterChar"/>
    <w:uiPriority w:val="99"/>
    <w:unhideWhenUsed/>
    <w:rsid w:val="00841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45C"/>
  </w:style>
  <w:style w:type="paragraph" w:styleId="CommentText">
    <w:name w:val="annotation text"/>
    <w:basedOn w:val="Normal"/>
    <w:link w:val="CommentTextChar"/>
    <w:uiPriority w:val="99"/>
    <w:semiHidden/>
    <w:unhideWhenUsed/>
    <w:rsid w:val="008F04C0"/>
    <w:pPr>
      <w:spacing w:line="240" w:lineRule="auto"/>
    </w:pPr>
    <w:rPr>
      <w:sz w:val="20"/>
      <w:szCs w:val="20"/>
    </w:rPr>
  </w:style>
  <w:style w:type="character" w:customStyle="1" w:styleId="CommentTextChar">
    <w:name w:val="Comment Text Char"/>
    <w:basedOn w:val="DefaultParagraphFont"/>
    <w:link w:val="CommentText"/>
    <w:uiPriority w:val="99"/>
    <w:semiHidden/>
    <w:rsid w:val="008F04C0"/>
    <w:rPr>
      <w:sz w:val="20"/>
      <w:szCs w:val="20"/>
    </w:rPr>
  </w:style>
  <w:style w:type="paragraph" w:customStyle="1" w:styleId="Default">
    <w:name w:val="Default"/>
    <w:rsid w:val="008F3896"/>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461262"/>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B33D23"/>
    <w:rPr>
      <w:b/>
      <w:bCs/>
    </w:rPr>
  </w:style>
  <w:style w:type="character" w:styleId="Emphasis">
    <w:name w:val="Emphasis"/>
    <w:basedOn w:val="DefaultParagraphFont"/>
    <w:uiPriority w:val="20"/>
    <w:qFormat/>
    <w:rsid w:val="00B33D23"/>
    <w:rPr>
      <w:i/>
      <w:iCs/>
    </w:rPr>
  </w:style>
  <w:style w:type="paragraph" w:customStyle="1" w:styleId="Pa5">
    <w:name w:val="Pa5"/>
    <w:basedOn w:val="Default"/>
    <w:next w:val="Default"/>
    <w:uiPriority w:val="99"/>
    <w:rsid w:val="009E49C9"/>
    <w:pPr>
      <w:spacing w:line="221" w:lineRule="atLeast"/>
    </w:pPr>
    <w:rPr>
      <w:rFonts w:ascii="PMJMNH+Avenir-Light" w:hAnsi="PMJMNH+Avenir-Light" w:cstheme="minorBidi"/>
      <w:color w:val="auto"/>
    </w:rPr>
  </w:style>
  <w:style w:type="paragraph" w:customStyle="1" w:styleId="Pa10">
    <w:name w:val="Pa10"/>
    <w:basedOn w:val="Default"/>
    <w:next w:val="Default"/>
    <w:uiPriority w:val="99"/>
    <w:rsid w:val="009E49C9"/>
    <w:pPr>
      <w:spacing w:line="221" w:lineRule="atLeast"/>
    </w:pPr>
    <w:rPr>
      <w:rFonts w:ascii="PMJMNH+Avenir-Light" w:hAnsi="PMJMNH+Avenir-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37928">
      <w:bodyDiv w:val="1"/>
      <w:marLeft w:val="0"/>
      <w:marRight w:val="0"/>
      <w:marTop w:val="0"/>
      <w:marBottom w:val="0"/>
      <w:divBdr>
        <w:top w:val="none" w:sz="0" w:space="0" w:color="auto"/>
        <w:left w:val="none" w:sz="0" w:space="0" w:color="auto"/>
        <w:bottom w:val="none" w:sz="0" w:space="0" w:color="auto"/>
        <w:right w:val="none" w:sz="0" w:space="0" w:color="auto"/>
      </w:divBdr>
    </w:div>
    <w:div w:id="290208493">
      <w:bodyDiv w:val="1"/>
      <w:marLeft w:val="0"/>
      <w:marRight w:val="0"/>
      <w:marTop w:val="0"/>
      <w:marBottom w:val="0"/>
      <w:divBdr>
        <w:top w:val="none" w:sz="0" w:space="0" w:color="auto"/>
        <w:left w:val="none" w:sz="0" w:space="0" w:color="auto"/>
        <w:bottom w:val="none" w:sz="0" w:space="0" w:color="auto"/>
        <w:right w:val="none" w:sz="0" w:space="0" w:color="auto"/>
      </w:divBdr>
    </w:div>
    <w:div w:id="427390523">
      <w:bodyDiv w:val="1"/>
      <w:marLeft w:val="0"/>
      <w:marRight w:val="0"/>
      <w:marTop w:val="0"/>
      <w:marBottom w:val="0"/>
      <w:divBdr>
        <w:top w:val="none" w:sz="0" w:space="0" w:color="auto"/>
        <w:left w:val="none" w:sz="0" w:space="0" w:color="auto"/>
        <w:bottom w:val="none" w:sz="0" w:space="0" w:color="auto"/>
        <w:right w:val="none" w:sz="0" w:space="0" w:color="auto"/>
      </w:divBdr>
    </w:div>
    <w:div w:id="513228697">
      <w:bodyDiv w:val="1"/>
      <w:marLeft w:val="0"/>
      <w:marRight w:val="0"/>
      <w:marTop w:val="0"/>
      <w:marBottom w:val="0"/>
      <w:divBdr>
        <w:top w:val="none" w:sz="0" w:space="0" w:color="auto"/>
        <w:left w:val="none" w:sz="0" w:space="0" w:color="auto"/>
        <w:bottom w:val="none" w:sz="0" w:space="0" w:color="auto"/>
        <w:right w:val="none" w:sz="0" w:space="0" w:color="auto"/>
      </w:divBdr>
    </w:div>
    <w:div w:id="645011285">
      <w:bodyDiv w:val="1"/>
      <w:marLeft w:val="0"/>
      <w:marRight w:val="0"/>
      <w:marTop w:val="0"/>
      <w:marBottom w:val="0"/>
      <w:divBdr>
        <w:top w:val="none" w:sz="0" w:space="0" w:color="auto"/>
        <w:left w:val="none" w:sz="0" w:space="0" w:color="auto"/>
        <w:bottom w:val="none" w:sz="0" w:space="0" w:color="auto"/>
        <w:right w:val="none" w:sz="0" w:space="0" w:color="auto"/>
      </w:divBdr>
      <w:divsChild>
        <w:div w:id="434446819">
          <w:marLeft w:val="0"/>
          <w:marRight w:val="0"/>
          <w:marTop w:val="0"/>
          <w:marBottom w:val="0"/>
          <w:divBdr>
            <w:top w:val="none" w:sz="0" w:space="0" w:color="auto"/>
            <w:left w:val="none" w:sz="0" w:space="0" w:color="auto"/>
            <w:bottom w:val="none" w:sz="0" w:space="0" w:color="auto"/>
            <w:right w:val="none" w:sz="0" w:space="0" w:color="auto"/>
          </w:divBdr>
          <w:divsChild>
            <w:div w:id="1468474431">
              <w:marLeft w:val="0"/>
              <w:marRight w:val="0"/>
              <w:marTop w:val="0"/>
              <w:marBottom w:val="0"/>
              <w:divBdr>
                <w:top w:val="none" w:sz="0" w:space="0" w:color="auto"/>
                <w:left w:val="none" w:sz="0" w:space="0" w:color="auto"/>
                <w:bottom w:val="none" w:sz="0" w:space="0" w:color="auto"/>
                <w:right w:val="none" w:sz="0" w:space="0" w:color="auto"/>
              </w:divBdr>
              <w:divsChild>
                <w:div w:id="672419137">
                  <w:marLeft w:val="0"/>
                  <w:marRight w:val="0"/>
                  <w:marTop w:val="0"/>
                  <w:marBottom w:val="0"/>
                  <w:divBdr>
                    <w:top w:val="none" w:sz="0" w:space="0" w:color="auto"/>
                    <w:left w:val="none" w:sz="0" w:space="0" w:color="auto"/>
                    <w:bottom w:val="none" w:sz="0" w:space="0" w:color="auto"/>
                    <w:right w:val="none" w:sz="0" w:space="0" w:color="auto"/>
                  </w:divBdr>
                  <w:divsChild>
                    <w:div w:id="1907372437">
                      <w:marLeft w:val="0"/>
                      <w:marRight w:val="0"/>
                      <w:marTop w:val="0"/>
                      <w:marBottom w:val="0"/>
                      <w:divBdr>
                        <w:top w:val="none" w:sz="0" w:space="0" w:color="auto"/>
                        <w:left w:val="none" w:sz="0" w:space="0" w:color="auto"/>
                        <w:bottom w:val="none" w:sz="0" w:space="0" w:color="auto"/>
                        <w:right w:val="none" w:sz="0" w:space="0" w:color="auto"/>
                      </w:divBdr>
                      <w:divsChild>
                        <w:div w:id="683673046">
                          <w:marLeft w:val="0"/>
                          <w:marRight w:val="0"/>
                          <w:marTop w:val="0"/>
                          <w:marBottom w:val="0"/>
                          <w:divBdr>
                            <w:top w:val="none" w:sz="0" w:space="0" w:color="auto"/>
                            <w:left w:val="none" w:sz="0" w:space="0" w:color="auto"/>
                            <w:bottom w:val="none" w:sz="0" w:space="0" w:color="auto"/>
                            <w:right w:val="none" w:sz="0" w:space="0" w:color="auto"/>
                          </w:divBdr>
                          <w:divsChild>
                            <w:div w:id="1076973788">
                              <w:marLeft w:val="0"/>
                              <w:marRight w:val="0"/>
                              <w:marTop w:val="0"/>
                              <w:marBottom w:val="0"/>
                              <w:divBdr>
                                <w:top w:val="none" w:sz="0" w:space="0" w:color="auto"/>
                                <w:left w:val="none" w:sz="0" w:space="0" w:color="auto"/>
                                <w:bottom w:val="none" w:sz="0" w:space="0" w:color="auto"/>
                                <w:right w:val="none" w:sz="0" w:space="0" w:color="auto"/>
                              </w:divBdr>
                              <w:divsChild>
                                <w:div w:id="1255355851">
                                  <w:marLeft w:val="0"/>
                                  <w:marRight w:val="0"/>
                                  <w:marTop w:val="0"/>
                                  <w:marBottom w:val="1200"/>
                                  <w:divBdr>
                                    <w:top w:val="none" w:sz="0" w:space="0" w:color="auto"/>
                                    <w:left w:val="none" w:sz="0" w:space="0" w:color="auto"/>
                                    <w:bottom w:val="none" w:sz="0" w:space="0" w:color="auto"/>
                                    <w:right w:val="none" w:sz="0" w:space="0" w:color="auto"/>
                                  </w:divBdr>
                                  <w:divsChild>
                                    <w:div w:id="15053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104178">
      <w:bodyDiv w:val="1"/>
      <w:marLeft w:val="0"/>
      <w:marRight w:val="0"/>
      <w:marTop w:val="0"/>
      <w:marBottom w:val="0"/>
      <w:divBdr>
        <w:top w:val="none" w:sz="0" w:space="0" w:color="auto"/>
        <w:left w:val="none" w:sz="0" w:space="0" w:color="auto"/>
        <w:bottom w:val="none" w:sz="0" w:space="0" w:color="auto"/>
        <w:right w:val="none" w:sz="0" w:space="0" w:color="auto"/>
      </w:divBdr>
    </w:div>
    <w:div w:id="1494908677">
      <w:bodyDiv w:val="1"/>
      <w:marLeft w:val="0"/>
      <w:marRight w:val="0"/>
      <w:marTop w:val="0"/>
      <w:marBottom w:val="0"/>
      <w:divBdr>
        <w:top w:val="none" w:sz="0" w:space="0" w:color="auto"/>
        <w:left w:val="none" w:sz="0" w:space="0" w:color="auto"/>
        <w:bottom w:val="none" w:sz="0" w:space="0" w:color="auto"/>
        <w:right w:val="none" w:sz="0" w:space="0" w:color="auto"/>
      </w:divBdr>
    </w:div>
    <w:div w:id="1529637984">
      <w:bodyDiv w:val="1"/>
      <w:marLeft w:val="0"/>
      <w:marRight w:val="0"/>
      <w:marTop w:val="0"/>
      <w:marBottom w:val="2250"/>
      <w:divBdr>
        <w:top w:val="none" w:sz="0" w:space="0" w:color="auto"/>
        <w:left w:val="none" w:sz="0" w:space="0" w:color="auto"/>
        <w:bottom w:val="none" w:sz="0" w:space="0" w:color="auto"/>
        <w:right w:val="none" w:sz="0" w:space="0" w:color="auto"/>
      </w:divBdr>
      <w:divsChild>
        <w:div w:id="1340161541">
          <w:marLeft w:val="0"/>
          <w:marRight w:val="0"/>
          <w:marTop w:val="0"/>
          <w:marBottom w:val="0"/>
          <w:divBdr>
            <w:top w:val="none" w:sz="0" w:space="0" w:color="auto"/>
            <w:left w:val="none" w:sz="0" w:space="0" w:color="auto"/>
            <w:bottom w:val="none" w:sz="0" w:space="0" w:color="auto"/>
            <w:right w:val="none" w:sz="0" w:space="0" w:color="auto"/>
          </w:divBdr>
          <w:divsChild>
            <w:div w:id="12659460">
              <w:marLeft w:val="0"/>
              <w:marRight w:val="0"/>
              <w:marTop w:val="0"/>
              <w:marBottom w:val="0"/>
              <w:divBdr>
                <w:top w:val="none" w:sz="0" w:space="0" w:color="auto"/>
                <w:left w:val="none" w:sz="0" w:space="0" w:color="auto"/>
                <w:bottom w:val="none" w:sz="0" w:space="0" w:color="auto"/>
                <w:right w:val="none" w:sz="0" w:space="0" w:color="auto"/>
              </w:divBdr>
              <w:divsChild>
                <w:div w:id="10100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3822">
      <w:bodyDiv w:val="1"/>
      <w:marLeft w:val="0"/>
      <w:marRight w:val="0"/>
      <w:marTop w:val="0"/>
      <w:marBottom w:val="0"/>
      <w:divBdr>
        <w:top w:val="none" w:sz="0" w:space="0" w:color="auto"/>
        <w:left w:val="none" w:sz="0" w:space="0" w:color="auto"/>
        <w:bottom w:val="none" w:sz="0" w:space="0" w:color="auto"/>
        <w:right w:val="none" w:sz="0" w:space="0" w:color="auto"/>
      </w:divBdr>
    </w:div>
    <w:div w:id="1705398411">
      <w:bodyDiv w:val="1"/>
      <w:marLeft w:val="0"/>
      <w:marRight w:val="0"/>
      <w:marTop w:val="0"/>
      <w:marBottom w:val="0"/>
      <w:divBdr>
        <w:top w:val="none" w:sz="0" w:space="0" w:color="auto"/>
        <w:left w:val="none" w:sz="0" w:space="0" w:color="auto"/>
        <w:bottom w:val="none" w:sz="0" w:space="0" w:color="auto"/>
        <w:right w:val="none" w:sz="0" w:space="0" w:color="auto"/>
      </w:divBdr>
    </w:div>
    <w:div w:id="19536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cgriffin</cp:lastModifiedBy>
  <cp:revision>2</cp:revision>
  <cp:lastPrinted>2019-03-07T15:08:00Z</cp:lastPrinted>
  <dcterms:created xsi:type="dcterms:W3CDTF">2019-04-10T09:19:00Z</dcterms:created>
  <dcterms:modified xsi:type="dcterms:W3CDTF">2019-04-10T09:19:00Z</dcterms:modified>
</cp:coreProperties>
</file>