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0927B" w14:textId="77777777" w:rsidR="00BD16B5" w:rsidRPr="00027F0A" w:rsidRDefault="00190EF9" w:rsidP="00027F0A">
      <w:pPr>
        <w:spacing w:after="0" w:line="360" w:lineRule="auto"/>
        <w:jc w:val="center"/>
        <w:rPr>
          <w:b/>
        </w:rPr>
      </w:pPr>
      <w:bookmarkStart w:id="0" w:name="_GoBack"/>
      <w:bookmarkEnd w:id="0"/>
      <w:r w:rsidRPr="00027F0A">
        <w:rPr>
          <w:noProof/>
          <w:lang w:eastAsia="en-IE"/>
        </w:rPr>
        <w:drawing>
          <wp:inline distT="0" distB="0" distL="0" distR="0" wp14:anchorId="1136886B" wp14:editId="741C288A">
            <wp:extent cx="1857375" cy="18846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656" cy="1936725"/>
                    </a:xfrm>
                    <a:prstGeom prst="rect">
                      <a:avLst/>
                    </a:prstGeom>
                  </pic:spPr>
                </pic:pic>
              </a:graphicData>
            </a:graphic>
          </wp:inline>
        </w:drawing>
      </w:r>
    </w:p>
    <w:p w14:paraId="375030BB" w14:textId="77777777" w:rsidR="00E70C0A" w:rsidRPr="00384E4F" w:rsidRDefault="00A12494" w:rsidP="004736C8">
      <w:pPr>
        <w:spacing w:after="0" w:line="360" w:lineRule="auto"/>
        <w:jc w:val="center"/>
        <w:rPr>
          <w:b/>
          <w:sz w:val="24"/>
          <w:szCs w:val="24"/>
        </w:rPr>
      </w:pPr>
      <w:r w:rsidRPr="00384E4F">
        <w:rPr>
          <w:b/>
          <w:sz w:val="24"/>
          <w:szCs w:val="24"/>
        </w:rPr>
        <w:t>Teachers’ Union of Ireland</w:t>
      </w:r>
    </w:p>
    <w:p w14:paraId="7ABFB964" w14:textId="6E04D280" w:rsidR="00A12494" w:rsidRPr="00384E4F" w:rsidRDefault="009E49C9" w:rsidP="004736C8">
      <w:pPr>
        <w:spacing w:after="0" w:line="360" w:lineRule="auto"/>
        <w:jc w:val="center"/>
        <w:rPr>
          <w:b/>
          <w:sz w:val="24"/>
          <w:szCs w:val="24"/>
        </w:rPr>
      </w:pPr>
      <w:r w:rsidRPr="009E49C9">
        <w:rPr>
          <w:b/>
          <w:sz w:val="24"/>
          <w:szCs w:val="24"/>
        </w:rPr>
        <w:t xml:space="preserve">Opening Statement to the Joint Oireachtas </w:t>
      </w:r>
      <w:r w:rsidR="00B01995" w:rsidRPr="00384E4F">
        <w:rPr>
          <w:b/>
          <w:sz w:val="24"/>
          <w:szCs w:val="24"/>
        </w:rPr>
        <w:t>Committee on Education and Skills</w:t>
      </w:r>
      <w:r w:rsidR="0031492A" w:rsidRPr="00384E4F">
        <w:rPr>
          <w:b/>
          <w:sz w:val="24"/>
          <w:szCs w:val="24"/>
        </w:rPr>
        <w:t xml:space="preserve"> </w:t>
      </w:r>
      <w:r w:rsidR="00B01995" w:rsidRPr="00384E4F">
        <w:rPr>
          <w:b/>
          <w:sz w:val="24"/>
          <w:szCs w:val="24"/>
        </w:rPr>
        <w:t xml:space="preserve">regarding </w:t>
      </w:r>
      <w:r w:rsidR="00A21BD2" w:rsidRPr="00384E4F">
        <w:rPr>
          <w:rFonts w:eastAsia="Calibri" w:cs="Tahoma"/>
          <w:sz w:val="24"/>
          <w:szCs w:val="24"/>
        </w:rPr>
        <w:t>‘</w:t>
      </w:r>
      <w:r w:rsidR="00731E8B">
        <w:rPr>
          <w:rFonts w:eastAsia="Calibri" w:cs="Tahoma"/>
          <w:b/>
          <w:sz w:val="24"/>
          <w:szCs w:val="24"/>
        </w:rPr>
        <w:t>the status of non-teaching staff in school</w:t>
      </w:r>
      <w:r w:rsidR="00A21BD2" w:rsidRPr="00384E4F">
        <w:rPr>
          <w:rFonts w:eastAsia="Calibri" w:cs="Tahoma"/>
          <w:b/>
          <w:sz w:val="24"/>
          <w:szCs w:val="24"/>
        </w:rPr>
        <w:t>’</w:t>
      </w:r>
      <w:r w:rsidR="00A21BD2" w:rsidRPr="00384E4F">
        <w:rPr>
          <w:b/>
          <w:sz w:val="24"/>
          <w:szCs w:val="24"/>
        </w:rPr>
        <w:t xml:space="preserve"> </w:t>
      </w:r>
      <w:r w:rsidR="00A12494" w:rsidRPr="00384E4F">
        <w:rPr>
          <w:b/>
          <w:sz w:val="24"/>
          <w:szCs w:val="24"/>
        </w:rPr>
        <w:t>(</w:t>
      </w:r>
      <w:r w:rsidR="00AC6BAE">
        <w:rPr>
          <w:b/>
          <w:sz w:val="24"/>
          <w:szCs w:val="24"/>
        </w:rPr>
        <w:t>April</w:t>
      </w:r>
      <w:r w:rsidR="00343415">
        <w:rPr>
          <w:b/>
          <w:sz w:val="24"/>
          <w:szCs w:val="24"/>
        </w:rPr>
        <w:t xml:space="preserve"> 2019</w:t>
      </w:r>
      <w:r w:rsidR="00A12494" w:rsidRPr="00384E4F">
        <w:rPr>
          <w:b/>
          <w:sz w:val="24"/>
          <w:szCs w:val="24"/>
        </w:rPr>
        <w:t>)</w:t>
      </w:r>
    </w:p>
    <w:p w14:paraId="28383CC5" w14:textId="77777777" w:rsidR="007A5F18" w:rsidRPr="00384E4F" w:rsidRDefault="007A5F18" w:rsidP="00384E4F">
      <w:pPr>
        <w:spacing w:after="0" w:line="360" w:lineRule="auto"/>
        <w:jc w:val="both"/>
        <w:rPr>
          <w:b/>
          <w:sz w:val="24"/>
          <w:szCs w:val="24"/>
        </w:rPr>
      </w:pPr>
    </w:p>
    <w:p w14:paraId="1F39885A" w14:textId="77777777" w:rsidR="00655DA1" w:rsidRPr="00803E38" w:rsidRDefault="00655DA1" w:rsidP="00655DA1">
      <w:pPr>
        <w:spacing w:after="0" w:line="360" w:lineRule="auto"/>
        <w:jc w:val="both"/>
        <w:rPr>
          <w:b/>
          <w:sz w:val="24"/>
          <w:szCs w:val="24"/>
          <w:u w:val="single"/>
        </w:rPr>
      </w:pPr>
      <w:r w:rsidRPr="00803E38">
        <w:rPr>
          <w:b/>
          <w:sz w:val="24"/>
          <w:szCs w:val="24"/>
          <w:u w:val="single"/>
        </w:rPr>
        <w:t>Introduction</w:t>
      </w:r>
    </w:p>
    <w:p w14:paraId="7D30B59D" w14:textId="64CC3A58" w:rsidR="00655DA1" w:rsidRPr="00803E38" w:rsidRDefault="008E6FFF" w:rsidP="00655DA1">
      <w:pPr>
        <w:spacing w:after="0" w:line="360" w:lineRule="auto"/>
        <w:jc w:val="both"/>
        <w:rPr>
          <w:rFonts w:eastAsiaTheme="majorEastAsia" w:cstheme="majorBidi"/>
          <w:b/>
          <w:bCs/>
          <w:sz w:val="24"/>
          <w:szCs w:val="24"/>
        </w:rPr>
      </w:pPr>
      <w:r>
        <w:rPr>
          <w:rFonts w:eastAsiaTheme="majorEastAsia" w:cstheme="majorBidi"/>
          <w:bCs/>
          <w:sz w:val="24"/>
          <w:szCs w:val="24"/>
        </w:rPr>
        <w:t xml:space="preserve">The </w:t>
      </w:r>
      <w:r w:rsidR="00655DA1" w:rsidRPr="00803E38">
        <w:rPr>
          <w:rFonts w:eastAsiaTheme="majorEastAsia" w:cstheme="majorBidi"/>
          <w:bCs/>
          <w:sz w:val="24"/>
          <w:szCs w:val="24"/>
        </w:rPr>
        <w:t>TUI represents teachers and lecturers (17,000+) employed by Education and Training Boards (ETBs), voluntary secondary schools, Community and Comprehensive (C&amp;C) schools an</w:t>
      </w:r>
      <w:r w:rsidR="00655DA1">
        <w:rPr>
          <w:rFonts w:eastAsiaTheme="majorEastAsia" w:cstheme="majorBidi"/>
          <w:bCs/>
          <w:sz w:val="24"/>
          <w:szCs w:val="24"/>
        </w:rPr>
        <w:t>d th</w:t>
      </w:r>
      <w:r w:rsidR="00480FBA">
        <w:rPr>
          <w:rFonts w:eastAsiaTheme="majorEastAsia" w:cstheme="majorBidi"/>
          <w:bCs/>
          <w:sz w:val="24"/>
          <w:szCs w:val="24"/>
        </w:rPr>
        <w:t>e institutes of technology.</w:t>
      </w:r>
    </w:p>
    <w:p w14:paraId="50B44ED5" w14:textId="77777777" w:rsidR="00655DA1" w:rsidRPr="00803E38" w:rsidRDefault="00655DA1" w:rsidP="00655DA1">
      <w:pPr>
        <w:spacing w:after="0" w:line="360" w:lineRule="auto"/>
        <w:jc w:val="both"/>
        <w:rPr>
          <w:sz w:val="24"/>
          <w:szCs w:val="24"/>
        </w:rPr>
      </w:pPr>
    </w:p>
    <w:p w14:paraId="57FBDC69" w14:textId="4C4D77FA" w:rsidR="00731E8B" w:rsidRPr="00731E8B" w:rsidRDefault="00731E8B" w:rsidP="00655DA1">
      <w:pPr>
        <w:spacing w:after="0" w:line="360" w:lineRule="auto"/>
        <w:jc w:val="both"/>
        <w:rPr>
          <w:b/>
          <w:sz w:val="24"/>
          <w:szCs w:val="24"/>
          <w:u w:val="single"/>
        </w:rPr>
      </w:pPr>
      <w:r w:rsidRPr="00731E8B">
        <w:rPr>
          <w:b/>
          <w:sz w:val="24"/>
          <w:szCs w:val="24"/>
          <w:u w:val="single"/>
        </w:rPr>
        <w:t>Key Points</w:t>
      </w:r>
    </w:p>
    <w:p w14:paraId="603262DE" w14:textId="604865B1" w:rsidR="00AC6BAE" w:rsidRDefault="00AC6BAE" w:rsidP="00AC6BAE">
      <w:pPr>
        <w:spacing w:line="360" w:lineRule="auto"/>
        <w:jc w:val="both"/>
        <w:rPr>
          <w:sz w:val="24"/>
          <w:szCs w:val="24"/>
        </w:rPr>
      </w:pPr>
      <w:r>
        <w:rPr>
          <w:sz w:val="24"/>
          <w:szCs w:val="24"/>
        </w:rPr>
        <w:t xml:space="preserve">The TUI welcomes the work of the Oireachtas Committee in examining </w:t>
      </w:r>
      <w:r w:rsidRPr="00731E8B">
        <w:rPr>
          <w:b/>
          <w:sz w:val="24"/>
          <w:szCs w:val="24"/>
        </w:rPr>
        <w:t xml:space="preserve">the </w:t>
      </w:r>
      <w:r w:rsidR="00731E8B" w:rsidRPr="00731E8B">
        <w:rPr>
          <w:b/>
          <w:sz w:val="24"/>
          <w:szCs w:val="24"/>
        </w:rPr>
        <w:t>status</w:t>
      </w:r>
      <w:r w:rsidRPr="00731E8B">
        <w:rPr>
          <w:b/>
          <w:sz w:val="24"/>
          <w:szCs w:val="24"/>
        </w:rPr>
        <w:t xml:space="preserve"> for non-teaching staff </w:t>
      </w:r>
      <w:r w:rsidR="00731E8B" w:rsidRPr="00731E8B">
        <w:rPr>
          <w:b/>
          <w:sz w:val="24"/>
          <w:szCs w:val="24"/>
        </w:rPr>
        <w:t>in</w:t>
      </w:r>
      <w:r w:rsidRPr="00731E8B">
        <w:rPr>
          <w:b/>
          <w:sz w:val="24"/>
          <w:szCs w:val="24"/>
        </w:rPr>
        <w:t xml:space="preserve"> schools</w:t>
      </w:r>
      <w:r>
        <w:rPr>
          <w:sz w:val="24"/>
          <w:szCs w:val="24"/>
        </w:rPr>
        <w:t>.  This is important both in terms of staff working inside schools such as secretarial and caretaking/</w:t>
      </w:r>
      <w:r w:rsidR="00480FBA">
        <w:rPr>
          <w:sz w:val="24"/>
          <w:szCs w:val="24"/>
        </w:rPr>
        <w:t xml:space="preserve">cleaning staff </w:t>
      </w:r>
      <w:proofErr w:type="gramStart"/>
      <w:r w:rsidR="00480FBA">
        <w:rPr>
          <w:sz w:val="24"/>
          <w:szCs w:val="24"/>
        </w:rPr>
        <w:t>and also</w:t>
      </w:r>
      <w:proofErr w:type="gramEnd"/>
      <w:r w:rsidR="00480FBA">
        <w:rPr>
          <w:sz w:val="24"/>
          <w:szCs w:val="24"/>
        </w:rPr>
        <w:t xml:space="preserve"> staff</w:t>
      </w:r>
      <w:r>
        <w:rPr>
          <w:sz w:val="24"/>
          <w:szCs w:val="24"/>
        </w:rPr>
        <w:t xml:space="preserve"> </w:t>
      </w:r>
      <w:r w:rsidR="00480FBA">
        <w:rPr>
          <w:sz w:val="24"/>
          <w:szCs w:val="24"/>
        </w:rPr>
        <w:t>working</w:t>
      </w:r>
      <w:r>
        <w:rPr>
          <w:sz w:val="24"/>
          <w:szCs w:val="24"/>
        </w:rPr>
        <w:t xml:space="preserve"> in </w:t>
      </w:r>
      <w:r w:rsidR="00480FBA">
        <w:rPr>
          <w:sz w:val="24"/>
          <w:szCs w:val="24"/>
        </w:rPr>
        <w:t>vital support</w:t>
      </w:r>
      <w:r>
        <w:rPr>
          <w:sz w:val="24"/>
          <w:szCs w:val="24"/>
        </w:rPr>
        <w:t xml:space="preserve"> agencies such as CAMHS/NEPS/</w:t>
      </w:r>
      <w:proofErr w:type="spellStart"/>
      <w:r>
        <w:rPr>
          <w:sz w:val="24"/>
          <w:szCs w:val="24"/>
        </w:rPr>
        <w:t>Tusla</w:t>
      </w:r>
      <w:proofErr w:type="spellEnd"/>
      <w:r>
        <w:rPr>
          <w:sz w:val="24"/>
          <w:szCs w:val="24"/>
        </w:rPr>
        <w:t xml:space="preserve"> etc.  </w:t>
      </w:r>
      <w:r w:rsidR="00BB0543">
        <w:rPr>
          <w:sz w:val="24"/>
          <w:szCs w:val="24"/>
        </w:rPr>
        <w:t>The role of SNAs in supporting the care needs of students with special educational needs is also relevant here.</w:t>
      </w:r>
    </w:p>
    <w:p w14:paraId="72CE7CE7" w14:textId="77777777" w:rsidR="00731E8B" w:rsidRDefault="00731E8B" w:rsidP="00AC6BAE">
      <w:pPr>
        <w:spacing w:line="360" w:lineRule="auto"/>
        <w:jc w:val="both"/>
        <w:rPr>
          <w:sz w:val="24"/>
          <w:szCs w:val="24"/>
        </w:rPr>
      </w:pPr>
    </w:p>
    <w:p w14:paraId="00682EAE" w14:textId="27111D11" w:rsidR="00BB0543" w:rsidRDefault="00AC6BAE" w:rsidP="00BB0543">
      <w:pPr>
        <w:spacing w:after="0" w:line="360" w:lineRule="auto"/>
        <w:jc w:val="both"/>
        <w:rPr>
          <w:rFonts w:ascii="Calibri" w:hAnsi="Calibri"/>
          <w:sz w:val="24"/>
          <w:szCs w:val="24"/>
        </w:rPr>
      </w:pPr>
      <w:r>
        <w:rPr>
          <w:sz w:val="24"/>
          <w:szCs w:val="24"/>
        </w:rPr>
        <w:t xml:space="preserve">Recent years have seen drastic cuts in </w:t>
      </w:r>
      <w:r w:rsidR="00B95BAE">
        <w:rPr>
          <w:sz w:val="24"/>
          <w:szCs w:val="24"/>
        </w:rPr>
        <w:t xml:space="preserve">the </w:t>
      </w:r>
      <w:r>
        <w:rPr>
          <w:sz w:val="24"/>
          <w:szCs w:val="24"/>
        </w:rPr>
        <w:t xml:space="preserve">resourcing of support </w:t>
      </w:r>
      <w:proofErr w:type="gramStart"/>
      <w:r>
        <w:rPr>
          <w:sz w:val="24"/>
          <w:szCs w:val="24"/>
        </w:rPr>
        <w:t>agencies in particular</w:t>
      </w:r>
      <w:proofErr w:type="gramEnd"/>
      <w:r>
        <w:rPr>
          <w:sz w:val="24"/>
          <w:szCs w:val="24"/>
        </w:rPr>
        <w:t xml:space="preserve">.  </w:t>
      </w:r>
      <w:r w:rsidR="00BB0543" w:rsidRPr="0040753F">
        <w:rPr>
          <w:rFonts w:ascii="Calibri" w:hAnsi="Calibri"/>
          <w:sz w:val="24"/>
          <w:szCs w:val="24"/>
        </w:rPr>
        <w:t>Schools rely heavily on support agencies, especially when working with students with special needs or students experiencing crisis.  Crisis situations require the presence of ex quota guidance teachers but also other specialist agencies.  Guidance staff in schools, and principal teachers, often find it very difficult to access outside support when needed as the agencies themselves are under significant pressure.</w:t>
      </w:r>
      <w:r w:rsidR="00BB0543">
        <w:rPr>
          <w:rFonts w:ascii="Calibri" w:hAnsi="Calibri"/>
          <w:sz w:val="24"/>
          <w:szCs w:val="24"/>
        </w:rPr>
        <w:t xml:space="preserve">  The TUI recognises the valuable work done by staff in agencies such as </w:t>
      </w:r>
      <w:proofErr w:type="spellStart"/>
      <w:r w:rsidR="00BB0543">
        <w:rPr>
          <w:rFonts w:ascii="Calibri" w:hAnsi="Calibri"/>
          <w:sz w:val="24"/>
          <w:szCs w:val="24"/>
        </w:rPr>
        <w:t>Tusla</w:t>
      </w:r>
      <w:proofErr w:type="spellEnd"/>
      <w:r w:rsidR="00BB0543">
        <w:rPr>
          <w:rFonts w:ascii="Calibri" w:hAnsi="Calibri"/>
          <w:sz w:val="24"/>
          <w:szCs w:val="24"/>
        </w:rPr>
        <w:t xml:space="preserve">, the National Council for Special Education, the Health Services Executive, the National Educational Psychological Service and many others.  Despite the best </w:t>
      </w:r>
      <w:r w:rsidR="00BB0543">
        <w:rPr>
          <w:rFonts w:ascii="Calibri" w:hAnsi="Calibri"/>
          <w:sz w:val="24"/>
          <w:szCs w:val="24"/>
        </w:rPr>
        <w:lastRenderedPageBreak/>
        <w:t>efforts of staff in those agencies, the level of resourcing available to them means that schools often cannot access professional support when needed.</w:t>
      </w:r>
      <w:r w:rsidR="005A192B">
        <w:rPr>
          <w:rFonts w:ascii="Calibri" w:hAnsi="Calibri"/>
          <w:sz w:val="24"/>
          <w:szCs w:val="24"/>
        </w:rPr>
        <w:t xml:space="preserve">  In recent weeks, the TUI has heard reports of possible cutbacks in the National Behaviour Support Service.  We have been unsuccessful in contacting the NBSS to assess if these reports are correct.</w:t>
      </w:r>
    </w:p>
    <w:p w14:paraId="671B7639" w14:textId="77777777" w:rsidR="00BB0543" w:rsidRPr="0040753F" w:rsidRDefault="00BB0543" w:rsidP="00BB0543">
      <w:pPr>
        <w:spacing w:after="0" w:line="360" w:lineRule="auto"/>
        <w:jc w:val="both"/>
        <w:rPr>
          <w:rFonts w:ascii="Calibri" w:hAnsi="Calibri"/>
          <w:sz w:val="24"/>
          <w:szCs w:val="24"/>
        </w:rPr>
      </w:pPr>
    </w:p>
    <w:p w14:paraId="2FD23051" w14:textId="769A91EA" w:rsidR="00AC6BAE" w:rsidRPr="00792D84" w:rsidRDefault="00AC6BAE" w:rsidP="00AC6BAE">
      <w:pPr>
        <w:spacing w:line="360" w:lineRule="auto"/>
        <w:jc w:val="both"/>
        <w:rPr>
          <w:sz w:val="24"/>
          <w:szCs w:val="24"/>
        </w:rPr>
      </w:pPr>
      <w:r>
        <w:rPr>
          <w:sz w:val="24"/>
          <w:szCs w:val="24"/>
        </w:rPr>
        <w:t>The most important issue in relation to staffing is to ensure that schools have access to well-trained, high quality teachers.  The current crisis in teacher supply is unhelpful in this regard.  The solution to the teacher supply crisis is clear – it is to resolve once and for all the issue of discriminatory pay rates.</w:t>
      </w:r>
    </w:p>
    <w:p w14:paraId="7E617494" w14:textId="77777777" w:rsidR="00731E8B" w:rsidRDefault="00731E8B" w:rsidP="00AC6BAE">
      <w:pPr>
        <w:spacing w:after="0" w:line="360" w:lineRule="auto"/>
        <w:jc w:val="both"/>
        <w:rPr>
          <w:sz w:val="24"/>
          <w:szCs w:val="24"/>
        </w:rPr>
      </w:pPr>
    </w:p>
    <w:p w14:paraId="3C17C348" w14:textId="1F5521BC" w:rsidR="00CE0C3B" w:rsidRDefault="00AC6BAE" w:rsidP="00AC6BAE">
      <w:pPr>
        <w:spacing w:after="0" w:line="360" w:lineRule="auto"/>
        <w:jc w:val="both"/>
        <w:rPr>
          <w:sz w:val="24"/>
          <w:szCs w:val="24"/>
        </w:rPr>
      </w:pPr>
      <w:r w:rsidRPr="00AA2728">
        <w:rPr>
          <w:sz w:val="24"/>
          <w:szCs w:val="24"/>
        </w:rPr>
        <w:t xml:space="preserve">The presence of both non-teaching and teaching staff is vital to schools.  </w:t>
      </w:r>
      <w:r w:rsidRPr="00372E7D">
        <w:rPr>
          <w:sz w:val="24"/>
          <w:szCs w:val="24"/>
        </w:rPr>
        <w:t xml:space="preserve">The great educational theorist Larry Cuban once said that “when society gets an itch schools get scratched”.  Schools have responsibilities but so too does society.  Schools </w:t>
      </w:r>
      <w:r>
        <w:rPr>
          <w:sz w:val="24"/>
          <w:szCs w:val="24"/>
        </w:rPr>
        <w:t>should</w:t>
      </w:r>
      <w:r w:rsidRPr="00AA2728">
        <w:rPr>
          <w:sz w:val="24"/>
          <w:szCs w:val="24"/>
        </w:rPr>
        <w:t xml:space="preserve"> not be held responsible for</w:t>
      </w:r>
      <w:r w:rsidR="00BB0543">
        <w:rPr>
          <w:sz w:val="24"/>
          <w:szCs w:val="24"/>
        </w:rPr>
        <w:t xml:space="preserve"> issues beyond the remit, </w:t>
      </w:r>
      <w:r w:rsidRPr="00AA2728">
        <w:rPr>
          <w:sz w:val="24"/>
          <w:szCs w:val="24"/>
        </w:rPr>
        <w:t xml:space="preserve">resourcing </w:t>
      </w:r>
      <w:r w:rsidR="00BB0543">
        <w:rPr>
          <w:sz w:val="24"/>
          <w:szCs w:val="24"/>
        </w:rPr>
        <w:t xml:space="preserve">or staffing </w:t>
      </w:r>
      <w:r w:rsidRPr="00AA2728">
        <w:rPr>
          <w:sz w:val="24"/>
          <w:szCs w:val="24"/>
        </w:rPr>
        <w:t xml:space="preserve">of schools.  </w:t>
      </w:r>
      <w:r w:rsidR="00731E8B">
        <w:rPr>
          <w:sz w:val="24"/>
          <w:szCs w:val="24"/>
        </w:rPr>
        <w:t>The smooth running of schools requires the availability of non-tea</w:t>
      </w:r>
      <w:r w:rsidR="005A192B">
        <w:rPr>
          <w:sz w:val="24"/>
          <w:szCs w:val="24"/>
        </w:rPr>
        <w:t>ching staff including caretaking, cleaning</w:t>
      </w:r>
      <w:r w:rsidR="00731E8B">
        <w:rPr>
          <w:sz w:val="24"/>
          <w:szCs w:val="24"/>
        </w:rPr>
        <w:t xml:space="preserve"> and secretarial staff.  </w:t>
      </w:r>
      <w:r w:rsidR="005A192B">
        <w:rPr>
          <w:sz w:val="24"/>
          <w:szCs w:val="24"/>
        </w:rPr>
        <w:t>Many post-primary schools are open from early in the morning until late in the night.  Many also open their doors to the local community over weekends.  It is not possible to safely and reasonably do this with an allocation, as available to many schools, of one caretaker and one cleaner.  Furthermore, i</w:t>
      </w:r>
      <w:r w:rsidR="00CE0C3B">
        <w:rPr>
          <w:sz w:val="24"/>
          <w:szCs w:val="24"/>
        </w:rPr>
        <w:t xml:space="preserve">n some schools, non-teaching staff are paid through </w:t>
      </w:r>
      <w:r w:rsidR="00CE0C3B" w:rsidRPr="00CE0C3B">
        <w:rPr>
          <w:sz w:val="24"/>
          <w:szCs w:val="24"/>
        </w:rPr>
        <w:t xml:space="preserve">ancillary grant, which means that their pay is determined by individual school boards of management.  </w:t>
      </w:r>
      <w:r w:rsidR="00CE0C3B">
        <w:rPr>
          <w:sz w:val="24"/>
          <w:szCs w:val="24"/>
        </w:rPr>
        <w:t>This causes a significant issue in terms of consistency and fairness.  The TUI supports our colleagues in Forsa in their current campaign on this issue.</w:t>
      </w:r>
    </w:p>
    <w:p w14:paraId="2A52A90E" w14:textId="77777777" w:rsidR="00CE0C3B" w:rsidRDefault="00CE0C3B" w:rsidP="00AC6BAE">
      <w:pPr>
        <w:spacing w:after="0" w:line="360" w:lineRule="auto"/>
        <w:jc w:val="both"/>
        <w:rPr>
          <w:sz w:val="24"/>
          <w:szCs w:val="24"/>
        </w:rPr>
      </w:pPr>
    </w:p>
    <w:p w14:paraId="56FD1933" w14:textId="4DB8B470" w:rsidR="00731E8B" w:rsidRPr="00792D84" w:rsidRDefault="00731E8B" w:rsidP="00731E8B">
      <w:pPr>
        <w:spacing w:line="360" w:lineRule="auto"/>
        <w:jc w:val="both"/>
        <w:rPr>
          <w:rFonts w:ascii="Calibri" w:hAnsi="Calibri"/>
          <w:sz w:val="24"/>
          <w:szCs w:val="24"/>
        </w:rPr>
      </w:pPr>
      <w:bookmarkStart w:id="1" w:name="_Hlk1658082"/>
      <w:r>
        <w:rPr>
          <w:rFonts w:ascii="Calibri" w:hAnsi="Calibri"/>
          <w:b/>
          <w:sz w:val="24"/>
          <w:szCs w:val="24"/>
          <w:u w:val="single"/>
        </w:rPr>
        <w:t>Next Steps</w:t>
      </w:r>
    </w:p>
    <w:p w14:paraId="46BCA2A7" w14:textId="40B216EE" w:rsidR="00731E8B" w:rsidRDefault="00731E8B" w:rsidP="00731E8B">
      <w:pPr>
        <w:spacing w:line="360" w:lineRule="auto"/>
        <w:jc w:val="both"/>
        <w:rPr>
          <w:sz w:val="24"/>
          <w:szCs w:val="24"/>
        </w:rPr>
      </w:pPr>
      <w:r>
        <w:rPr>
          <w:sz w:val="24"/>
          <w:szCs w:val="24"/>
        </w:rPr>
        <w:t xml:space="preserve">The TUI welcomes this research by the Oireachtas Committee and would strongly welcome any future initiatives of the Committee to further examine the issue of staffing resources for schools.  This could include the Oireachtas Committee asking the DES to carry out an audit of non-teaching staff supporting schools.  This data could demonstrate exactly how many non-teaching staff are available now compared to a decade ago.  This data could further take into account the </w:t>
      </w:r>
      <w:r w:rsidR="00480FBA">
        <w:rPr>
          <w:sz w:val="24"/>
          <w:szCs w:val="24"/>
        </w:rPr>
        <w:t>huge</w:t>
      </w:r>
      <w:r>
        <w:rPr>
          <w:sz w:val="24"/>
          <w:szCs w:val="24"/>
        </w:rPr>
        <w:t xml:space="preserve"> rise in student numbers being experienced in second-level schools between 2012 and 2025.  </w:t>
      </w:r>
    </w:p>
    <w:bookmarkEnd w:id="1"/>
    <w:p w14:paraId="727F0FB6" w14:textId="77777777" w:rsidR="00731E8B" w:rsidRDefault="00731E8B" w:rsidP="00803E38">
      <w:pPr>
        <w:spacing w:line="360" w:lineRule="auto"/>
        <w:jc w:val="both"/>
        <w:rPr>
          <w:b/>
          <w:sz w:val="24"/>
          <w:szCs w:val="24"/>
        </w:rPr>
      </w:pPr>
    </w:p>
    <w:p w14:paraId="7306FC13" w14:textId="09E72C25" w:rsidR="00DD2118" w:rsidRDefault="00DD2118" w:rsidP="00803E38">
      <w:pPr>
        <w:spacing w:line="360" w:lineRule="auto"/>
        <w:jc w:val="both"/>
        <w:rPr>
          <w:b/>
          <w:sz w:val="24"/>
          <w:szCs w:val="24"/>
        </w:rPr>
      </w:pPr>
      <w:r w:rsidRPr="00022D09">
        <w:rPr>
          <w:b/>
          <w:sz w:val="24"/>
          <w:szCs w:val="24"/>
        </w:rPr>
        <w:t xml:space="preserve">Ends </w:t>
      </w:r>
    </w:p>
    <w:p w14:paraId="049549AF" w14:textId="6E7FD887" w:rsidR="008E6FFF" w:rsidRDefault="008E6FFF" w:rsidP="00803E38">
      <w:pPr>
        <w:spacing w:line="360" w:lineRule="auto"/>
        <w:jc w:val="both"/>
        <w:rPr>
          <w:b/>
          <w:sz w:val="24"/>
          <w:szCs w:val="24"/>
        </w:rPr>
      </w:pPr>
      <w:r>
        <w:rPr>
          <w:b/>
          <w:sz w:val="24"/>
          <w:szCs w:val="24"/>
        </w:rPr>
        <w:t>David Duffy</w:t>
      </w:r>
    </w:p>
    <w:p w14:paraId="39A2B784" w14:textId="02501630" w:rsidR="008E6FFF" w:rsidRPr="00022D09" w:rsidRDefault="008E6FFF" w:rsidP="00803E38">
      <w:pPr>
        <w:spacing w:line="360" w:lineRule="auto"/>
        <w:jc w:val="both"/>
        <w:rPr>
          <w:b/>
          <w:sz w:val="24"/>
          <w:szCs w:val="24"/>
        </w:rPr>
      </w:pPr>
      <w:r>
        <w:rPr>
          <w:b/>
          <w:sz w:val="24"/>
          <w:szCs w:val="24"/>
        </w:rPr>
        <w:t>Education Research Officer</w:t>
      </w:r>
    </w:p>
    <w:p w14:paraId="14F657F2" w14:textId="5AB7D65C" w:rsidR="00D605AB" w:rsidRDefault="00D605AB" w:rsidP="00803E38">
      <w:pPr>
        <w:spacing w:line="360" w:lineRule="auto"/>
        <w:jc w:val="both"/>
        <w:rPr>
          <w:b/>
          <w:sz w:val="24"/>
          <w:szCs w:val="24"/>
        </w:rPr>
      </w:pPr>
    </w:p>
    <w:sectPr w:rsidR="00D605A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BFB62" w14:textId="77777777" w:rsidR="002B1EBC" w:rsidRDefault="002B1EBC" w:rsidP="0084145C">
      <w:pPr>
        <w:spacing w:after="0" w:line="240" w:lineRule="auto"/>
      </w:pPr>
      <w:r>
        <w:separator/>
      </w:r>
    </w:p>
  </w:endnote>
  <w:endnote w:type="continuationSeparator" w:id="0">
    <w:p w14:paraId="3B6B2CE6" w14:textId="77777777" w:rsidR="002B1EBC" w:rsidRDefault="002B1EBC" w:rsidP="0084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MJMNH+Avenir-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989662"/>
      <w:docPartObj>
        <w:docPartGallery w:val="Page Numbers (Bottom of Page)"/>
        <w:docPartUnique/>
      </w:docPartObj>
    </w:sdtPr>
    <w:sdtEndPr>
      <w:rPr>
        <w:noProof/>
      </w:rPr>
    </w:sdtEndPr>
    <w:sdtContent>
      <w:p w14:paraId="6901D8CA" w14:textId="655B4902" w:rsidR="00850121" w:rsidRDefault="00850121">
        <w:pPr>
          <w:pStyle w:val="Footer"/>
          <w:jc w:val="right"/>
        </w:pPr>
        <w:r>
          <w:fldChar w:fldCharType="begin"/>
        </w:r>
        <w:r>
          <w:instrText xml:space="preserve"> PAGE   \* MERGEFORMAT </w:instrText>
        </w:r>
        <w:r>
          <w:fldChar w:fldCharType="separate"/>
        </w:r>
        <w:r w:rsidR="005B6EFF">
          <w:rPr>
            <w:noProof/>
          </w:rPr>
          <w:t>15</w:t>
        </w:r>
        <w:r>
          <w:rPr>
            <w:noProof/>
          </w:rPr>
          <w:fldChar w:fldCharType="end"/>
        </w:r>
      </w:p>
    </w:sdtContent>
  </w:sdt>
  <w:p w14:paraId="06582505" w14:textId="77777777" w:rsidR="00850121" w:rsidRDefault="00850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71C98" w14:textId="77777777" w:rsidR="002B1EBC" w:rsidRDefault="002B1EBC" w:rsidP="0084145C">
      <w:pPr>
        <w:spacing w:after="0" w:line="240" w:lineRule="auto"/>
      </w:pPr>
      <w:r>
        <w:separator/>
      </w:r>
    </w:p>
  </w:footnote>
  <w:footnote w:type="continuationSeparator" w:id="0">
    <w:p w14:paraId="08E385FC" w14:textId="77777777" w:rsidR="002B1EBC" w:rsidRDefault="002B1EBC" w:rsidP="00841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771"/>
    <w:multiLevelType w:val="hybridMultilevel"/>
    <w:tmpl w:val="467E9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01666C"/>
    <w:multiLevelType w:val="hybridMultilevel"/>
    <w:tmpl w:val="1C1CB2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813534"/>
    <w:multiLevelType w:val="hybridMultilevel"/>
    <w:tmpl w:val="7368C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1453DE"/>
    <w:multiLevelType w:val="multilevel"/>
    <w:tmpl w:val="63CE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352FD1"/>
    <w:multiLevelType w:val="hybridMultilevel"/>
    <w:tmpl w:val="424E0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372DAF"/>
    <w:multiLevelType w:val="hybridMultilevel"/>
    <w:tmpl w:val="6AE68806"/>
    <w:lvl w:ilvl="0" w:tplc="D396B788">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804E0D"/>
    <w:multiLevelType w:val="hybridMultilevel"/>
    <w:tmpl w:val="0032B90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9E19263"/>
    <w:multiLevelType w:val="hybridMultilevel"/>
    <w:tmpl w:val="FFE0882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B4E448D"/>
    <w:multiLevelType w:val="multilevel"/>
    <w:tmpl w:val="10F29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727F4A"/>
    <w:multiLevelType w:val="multilevel"/>
    <w:tmpl w:val="132A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910C87"/>
    <w:multiLevelType w:val="hybridMultilevel"/>
    <w:tmpl w:val="B2587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C29512A"/>
    <w:multiLevelType w:val="hybridMultilevel"/>
    <w:tmpl w:val="137A7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67B59EB"/>
    <w:multiLevelType w:val="hybridMultilevel"/>
    <w:tmpl w:val="95821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CE0205C"/>
    <w:multiLevelType w:val="hybridMultilevel"/>
    <w:tmpl w:val="30404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2933F67"/>
    <w:multiLevelType w:val="hybridMultilevel"/>
    <w:tmpl w:val="A4C6EB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6141E9B"/>
    <w:multiLevelType w:val="hybridMultilevel"/>
    <w:tmpl w:val="AD32C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22"/>
  </w:num>
  <w:num w:numId="5">
    <w:abstractNumId w:val="19"/>
  </w:num>
  <w:num w:numId="6">
    <w:abstractNumId w:val="2"/>
  </w:num>
  <w:num w:numId="7">
    <w:abstractNumId w:val="8"/>
  </w:num>
  <w:num w:numId="8">
    <w:abstractNumId w:val="18"/>
  </w:num>
  <w:num w:numId="9">
    <w:abstractNumId w:val="11"/>
  </w:num>
  <w:num w:numId="10">
    <w:abstractNumId w:val="24"/>
  </w:num>
  <w:num w:numId="11">
    <w:abstractNumId w:val="14"/>
  </w:num>
  <w:num w:numId="12">
    <w:abstractNumId w:val="0"/>
  </w:num>
  <w:num w:numId="13">
    <w:abstractNumId w:val="21"/>
  </w:num>
  <w:num w:numId="14">
    <w:abstractNumId w:val="5"/>
  </w:num>
  <w:num w:numId="15">
    <w:abstractNumId w:val="3"/>
  </w:num>
  <w:num w:numId="16">
    <w:abstractNumId w:val="23"/>
  </w:num>
  <w:num w:numId="17">
    <w:abstractNumId w:val="13"/>
  </w:num>
  <w:num w:numId="18">
    <w:abstractNumId w:val="7"/>
  </w:num>
  <w:num w:numId="19">
    <w:abstractNumId w:val="6"/>
  </w:num>
  <w:num w:numId="20">
    <w:abstractNumId w:val="20"/>
  </w:num>
  <w:num w:numId="21">
    <w:abstractNumId w:val="17"/>
  </w:num>
  <w:num w:numId="22">
    <w:abstractNumId w:val="1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1439D"/>
    <w:rsid w:val="00015A06"/>
    <w:rsid w:val="00017F05"/>
    <w:rsid w:val="00020DB4"/>
    <w:rsid w:val="00021C7B"/>
    <w:rsid w:val="00022D09"/>
    <w:rsid w:val="00023BC3"/>
    <w:rsid w:val="00027F0A"/>
    <w:rsid w:val="00030807"/>
    <w:rsid w:val="000478ED"/>
    <w:rsid w:val="00050223"/>
    <w:rsid w:val="000522A2"/>
    <w:rsid w:val="000541F8"/>
    <w:rsid w:val="00072A73"/>
    <w:rsid w:val="000776DA"/>
    <w:rsid w:val="000A32E3"/>
    <w:rsid w:val="000A6F33"/>
    <w:rsid w:val="000B120C"/>
    <w:rsid w:val="000B6D1B"/>
    <w:rsid w:val="000C09F6"/>
    <w:rsid w:val="000C2063"/>
    <w:rsid w:val="000D1B84"/>
    <w:rsid w:val="000D78D5"/>
    <w:rsid w:val="000E22A7"/>
    <w:rsid w:val="000E49FC"/>
    <w:rsid w:val="000F3170"/>
    <w:rsid w:val="000F52B2"/>
    <w:rsid w:val="001036F9"/>
    <w:rsid w:val="0010428C"/>
    <w:rsid w:val="00123F17"/>
    <w:rsid w:val="001456A9"/>
    <w:rsid w:val="00146738"/>
    <w:rsid w:val="001522ED"/>
    <w:rsid w:val="00167086"/>
    <w:rsid w:val="001674FA"/>
    <w:rsid w:val="0018717F"/>
    <w:rsid w:val="00190EF9"/>
    <w:rsid w:val="00192003"/>
    <w:rsid w:val="0019362F"/>
    <w:rsid w:val="00194340"/>
    <w:rsid w:val="00197292"/>
    <w:rsid w:val="001A0ED8"/>
    <w:rsid w:val="001A568E"/>
    <w:rsid w:val="001A6DAB"/>
    <w:rsid w:val="001B02CC"/>
    <w:rsid w:val="001C34E3"/>
    <w:rsid w:val="001C4AAE"/>
    <w:rsid w:val="001D412D"/>
    <w:rsid w:val="001D54F1"/>
    <w:rsid w:val="001F0BE5"/>
    <w:rsid w:val="001F538B"/>
    <w:rsid w:val="001F67A6"/>
    <w:rsid w:val="001F6FFD"/>
    <w:rsid w:val="00225FFB"/>
    <w:rsid w:val="00230828"/>
    <w:rsid w:val="00231D02"/>
    <w:rsid w:val="002441BD"/>
    <w:rsid w:val="00244472"/>
    <w:rsid w:val="0024520B"/>
    <w:rsid w:val="00246217"/>
    <w:rsid w:val="00246EE2"/>
    <w:rsid w:val="00251BA4"/>
    <w:rsid w:val="00261757"/>
    <w:rsid w:val="00261D19"/>
    <w:rsid w:val="00264A89"/>
    <w:rsid w:val="002672FF"/>
    <w:rsid w:val="0027542B"/>
    <w:rsid w:val="00280F55"/>
    <w:rsid w:val="00282CA3"/>
    <w:rsid w:val="00290384"/>
    <w:rsid w:val="00293524"/>
    <w:rsid w:val="00296F39"/>
    <w:rsid w:val="002A4C09"/>
    <w:rsid w:val="002A569F"/>
    <w:rsid w:val="002B16C3"/>
    <w:rsid w:val="002B1EBC"/>
    <w:rsid w:val="002B2B58"/>
    <w:rsid w:val="002B3562"/>
    <w:rsid w:val="002B50B8"/>
    <w:rsid w:val="002B7C4F"/>
    <w:rsid w:val="002D6B85"/>
    <w:rsid w:val="002E13B8"/>
    <w:rsid w:val="002E490F"/>
    <w:rsid w:val="002E553B"/>
    <w:rsid w:val="002F2AD1"/>
    <w:rsid w:val="00307FF5"/>
    <w:rsid w:val="00311F72"/>
    <w:rsid w:val="00313B2E"/>
    <w:rsid w:val="0031492A"/>
    <w:rsid w:val="00324B70"/>
    <w:rsid w:val="00342A57"/>
    <w:rsid w:val="00343415"/>
    <w:rsid w:val="003500DD"/>
    <w:rsid w:val="003505F9"/>
    <w:rsid w:val="00353E75"/>
    <w:rsid w:val="00360849"/>
    <w:rsid w:val="00366017"/>
    <w:rsid w:val="003662F4"/>
    <w:rsid w:val="003662FD"/>
    <w:rsid w:val="00366E5C"/>
    <w:rsid w:val="00367268"/>
    <w:rsid w:val="00371A29"/>
    <w:rsid w:val="00373B48"/>
    <w:rsid w:val="00377B55"/>
    <w:rsid w:val="00384E4F"/>
    <w:rsid w:val="00390C85"/>
    <w:rsid w:val="00393415"/>
    <w:rsid w:val="003A3A98"/>
    <w:rsid w:val="003A3C5D"/>
    <w:rsid w:val="003A69DE"/>
    <w:rsid w:val="003B07B6"/>
    <w:rsid w:val="003B3F90"/>
    <w:rsid w:val="003C18DB"/>
    <w:rsid w:val="003C5798"/>
    <w:rsid w:val="003C7AE0"/>
    <w:rsid w:val="003D29AE"/>
    <w:rsid w:val="003D4A25"/>
    <w:rsid w:val="003D570A"/>
    <w:rsid w:val="003E72AD"/>
    <w:rsid w:val="003F0DF3"/>
    <w:rsid w:val="003F14EB"/>
    <w:rsid w:val="00406327"/>
    <w:rsid w:val="0041104C"/>
    <w:rsid w:val="0042135E"/>
    <w:rsid w:val="004304DC"/>
    <w:rsid w:val="004341CF"/>
    <w:rsid w:val="0044191D"/>
    <w:rsid w:val="00453BBB"/>
    <w:rsid w:val="00461262"/>
    <w:rsid w:val="004677D3"/>
    <w:rsid w:val="00472ABE"/>
    <w:rsid w:val="004736C8"/>
    <w:rsid w:val="00475683"/>
    <w:rsid w:val="00480FBA"/>
    <w:rsid w:val="00487B33"/>
    <w:rsid w:val="004965AF"/>
    <w:rsid w:val="004A3AAE"/>
    <w:rsid w:val="004B2784"/>
    <w:rsid w:val="004B3052"/>
    <w:rsid w:val="004C2737"/>
    <w:rsid w:val="004C28C8"/>
    <w:rsid w:val="004D7897"/>
    <w:rsid w:val="004E491E"/>
    <w:rsid w:val="004F1A3F"/>
    <w:rsid w:val="00506CEF"/>
    <w:rsid w:val="00511876"/>
    <w:rsid w:val="005160BD"/>
    <w:rsid w:val="00535981"/>
    <w:rsid w:val="00536904"/>
    <w:rsid w:val="005405CD"/>
    <w:rsid w:val="0055078D"/>
    <w:rsid w:val="0055122A"/>
    <w:rsid w:val="00554298"/>
    <w:rsid w:val="0055506C"/>
    <w:rsid w:val="00560B54"/>
    <w:rsid w:val="005652BB"/>
    <w:rsid w:val="00577038"/>
    <w:rsid w:val="00581260"/>
    <w:rsid w:val="00584363"/>
    <w:rsid w:val="00586FD1"/>
    <w:rsid w:val="00592A08"/>
    <w:rsid w:val="005A192B"/>
    <w:rsid w:val="005A57C0"/>
    <w:rsid w:val="005B6EFF"/>
    <w:rsid w:val="005C6CA4"/>
    <w:rsid w:val="005D130F"/>
    <w:rsid w:val="005E018E"/>
    <w:rsid w:val="005E3702"/>
    <w:rsid w:val="005F1A07"/>
    <w:rsid w:val="005F718F"/>
    <w:rsid w:val="00605C91"/>
    <w:rsid w:val="006073AF"/>
    <w:rsid w:val="0061555D"/>
    <w:rsid w:val="00647F93"/>
    <w:rsid w:val="006513EF"/>
    <w:rsid w:val="006543E9"/>
    <w:rsid w:val="00655DA1"/>
    <w:rsid w:val="0068149A"/>
    <w:rsid w:val="0068345F"/>
    <w:rsid w:val="00693C7E"/>
    <w:rsid w:val="00695428"/>
    <w:rsid w:val="0069772B"/>
    <w:rsid w:val="006A2613"/>
    <w:rsid w:val="006A3148"/>
    <w:rsid w:val="006B2416"/>
    <w:rsid w:val="006B50A4"/>
    <w:rsid w:val="006C2BF8"/>
    <w:rsid w:val="006C3BF5"/>
    <w:rsid w:val="006D0875"/>
    <w:rsid w:val="006D3B2A"/>
    <w:rsid w:val="006D6989"/>
    <w:rsid w:val="006E3D81"/>
    <w:rsid w:val="006E4C85"/>
    <w:rsid w:val="006E7344"/>
    <w:rsid w:val="006F2B71"/>
    <w:rsid w:val="006F4113"/>
    <w:rsid w:val="006F5DF0"/>
    <w:rsid w:val="007024A5"/>
    <w:rsid w:val="0071123F"/>
    <w:rsid w:val="007165AB"/>
    <w:rsid w:val="00720961"/>
    <w:rsid w:val="00722F0F"/>
    <w:rsid w:val="00731E8B"/>
    <w:rsid w:val="00744523"/>
    <w:rsid w:val="00750973"/>
    <w:rsid w:val="0076340A"/>
    <w:rsid w:val="00775B69"/>
    <w:rsid w:val="00784781"/>
    <w:rsid w:val="00784D27"/>
    <w:rsid w:val="007941B9"/>
    <w:rsid w:val="00795F12"/>
    <w:rsid w:val="007A5F18"/>
    <w:rsid w:val="007B1329"/>
    <w:rsid w:val="007B4766"/>
    <w:rsid w:val="007C6EA7"/>
    <w:rsid w:val="007D5302"/>
    <w:rsid w:val="007D59D1"/>
    <w:rsid w:val="007D615C"/>
    <w:rsid w:val="007D7D5B"/>
    <w:rsid w:val="007E025D"/>
    <w:rsid w:val="007E5BC8"/>
    <w:rsid w:val="00803E38"/>
    <w:rsid w:val="00810E55"/>
    <w:rsid w:val="00811CD5"/>
    <w:rsid w:val="00826878"/>
    <w:rsid w:val="00826C52"/>
    <w:rsid w:val="008278FC"/>
    <w:rsid w:val="008313B5"/>
    <w:rsid w:val="00836D4D"/>
    <w:rsid w:val="0084145C"/>
    <w:rsid w:val="00844B02"/>
    <w:rsid w:val="00850121"/>
    <w:rsid w:val="008508B8"/>
    <w:rsid w:val="008516BA"/>
    <w:rsid w:val="00852D95"/>
    <w:rsid w:val="00855607"/>
    <w:rsid w:val="00861287"/>
    <w:rsid w:val="00866A05"/>
    <w:rsid w:val="0086770F"/>
    <w:rsid w:val="00870E5E"/>
    <w:rsid w:val="008749A9"/>
    <w:rsid w:val="00874AAB"/>
    <w:rsid w:val="00875220"/>
    <w:rsid w:val="00896153"/>
    <w:rsid w:val="008C7B1A"/>
    <w:rsid w:val="008D2348"/>
    <w:rsid w:val="008D25CF"/>
    <w:rsid w:val="008D2C23"/>
    <w:rsid w:val="008D61EF"/>
    <w:rsid w:val="008E31BF"/>
    <w:rsid w:val="008E4E8C"/>
    <w:rsid w:val="008E6FFF"/>
    <w:rsid w:val="008F04C0"/>
    <w:rsid w:val="008F05C7"/>
    <w:rsid w:val="008F3896"/>
    <w:rsid w:val="008F3ABC"/>
    <w:rsid w:val="0090239F"/>
    <w:rsid w:val="00902FF6"/>
    <w:rsid w:val="00911BE1"/>
    <w:rsid w:val="00912C76"/>
    <w:rsid w:val="00915261"/>
    <w:rsid w:val="00916CAD"/>
    <w:rsid w:val="009244B3"/>
    <w:rsid w:val="0093208E"/>
    <w:rsid w:val="00933273"/>
    <w:rsid w:val="00935248"/>
    <w:rsid w:val="00945749"/>
    <w:rsid w:val="00947CD3"/>
    <w:rsid w:val="00952C53"/>
    <w:rsid w:val="0095455F"/>
    <w:rsid w:val="00957A92"/>
    <w:rsid w:val="009636DC"/>
    <w:rsid w:val="00963D08"/>
    <w:rsid w:val="00964FCE"/>
    <w:rsid w:val="0096604B"/>
    <w:rsid w:val="00970670"/>
    <w:rsid w:val="00980209"/>
    <w:rsid w:val="009833B2"/>
    <w:rsid w:val="00986C73"/>
    <w:rsid w:val="00990B58"/>
    <w:rsid w:val="009A2EA4"/>
    <w:rsid w:val="009B11C9"/>
    <w:rsid w:val="009B277A"/>
    <w:rsid w:val="009B656D"/>
    <w:rsid w:val="009C68AA"/>
    <w:rsid w:val="009D026D"/>
    <w:rsid w:val="009D331F"/>
    <w:rsid w:val="009D70E7"/>
    <w:rsid w:val="009E11A6"/>
    <w:rsid w:val="009E2540"/>
    <w:rsid w:val="009E3116"/>
    <w:rsid w:val="009E3FA1"/>
    <w:rsid w:val="009E49C9"/>
    <w:rsid w:val="009F2DB6"/>
    <w:rsid w:val="009F3034"/>
    <w:rsid w:val="009F660D"/>
    <w:rsid w:val="00A1084A"/>
    <w:rsid w:val="00A12494"/>
    <w:rsid w:val="00A1302A"/>
    <w:rsid w:val="00A145D9"/>
    <w:rsid w:val="00A175A3"/>
    <w:rsid w:val="00A21BD2"/>
    <w:rsid w:val="00A23190"/>
    <w:rsid w:val="00A35D83"/>
    <w:rsid w:val="00A43DEB"/>
    <w:rsid w:val="00A44E41"/>
    <w:rsid w:val="00A45A22"/>
    <w:rsid w:val="00A54949"/>
    <w:rsid w:val="00A560A4"/>
    <w:rsid w:val="00A60D03"/>
    <w:rsid w:val="00A61C6E"/>
    <w:rsid w:val="00A61CEE"/>
    <w:rsid w:val="00A62069"/>
    <w:rsid w:val="00A74445"/>
    <w:rsid w:val="00A81D53"/>
    <w:rsid w:val="00A848C4"/>
    <w:rsid w:val="00A909F2"/>
    <w:rsid w:val="00A9600D"/>
    <w:rsid w:val="00AA1F7B"/>
    <w:rsid w:val="00AA3616"/>
    <w:rsid w:val="00AB30BB"/>
    <w:rsid w:val="00AB3990"/>
    <w:rsid w:val="00AB4A4D"/>
    <w:rsid w:val="00AC27FC"/>
    <w:rsid w:val="00AC32F0"/>
    <w:rsid w:val="00AC6A25"/>
    <w:rsid w:val="00AC6BAE"/>
    <w:rsid w:val="00AC6FC2"/>
    <w:rsid w:val="00AD143E"/>
    <w:rsid w:val="00AD5C80"/>
    <w:rsid w:val="00AD7A53"/>
    <w:rsid w:val="00AD7D90"/>
    <w:rsid w:val="00AE1C0A"/>
    <w:rsid w:val="00AE436E"/>
    <w:rsid w:val="00AE5DDC"/>
    <w:rsid w:val="00AE6946"/>
    <w:rsid w:val="00AE7560"/>
    <w:rsid w:val="00AF2DE2"/>
    <w:rsid w:val="00AF31A1"/>
    <w:rsid w:val="00B0011F"/>
    <w:rsid w:val="00B01995"/>
    <w:rsid w:val="00B040F2"/>
    <w:rsid w:val="00B15C62"/>
    <w:rsid w:val="00B253DD"/>
    <w:rsid w:val="00B27161"/>
    <w:rsid w:val="00B33D23"/>
    <w:rsid w:val="00B42153"/>
    <w:rsid w:val="00B45D77"/>
    <w:rsid w:val="00B50382"/>
    <w:rsid w:val="00B64AE2"/>
    <w:rsid w:val="00B76884"/>
    <w:rsid w:val="00B8749F"/>
    <w:rsid w:val="00B95BAE"/>
    <w:rsid w:val="00B973D5"/>
    <w:rsid w:val="00BA3CEF"/>
    <w:rsid w:val="00BA55C0"/>
    <w:rsid w:val="00BA7E6C"/>
    <w:rsid w:val="00BB0543"/>
    <w:rsid w:val="00BB4DF2"/>
    <w:rsid w:val="00BC1F05"/>
    <w:rsid w:val="00BD0FAF"/>
    <w:rsid w:val="00BD16B5"/>
    <w:rsid w:val="00BD3F30"/>
    <w:rsid w:val="00BE62B4"/>
    <w:rsid w:val="00BF7DBD"/>
    <w:rsid w:val="00C001EE"/>
    <w:rsid w:val="00C04963"/>
    <w:rsid w:val="00C06C58"/>
    <w:rsid w:val="00C06D62"/>
    <w:rsid w:val="00C100C7"/>
    <w:rsid w:val="00C100F8"/>
    <w:rsid w:val="00C11F35"/>
    <w:rsid w:val="00C20F3D"/>
    <w:rsid w:val="00C31378"/>
    <w:rsid w:val="00C33495"/>
    <w:rsid w:val="00C41C84"/>
    <w:rsid w:val="00C454EC"/>
    <w:rsid w:val="00C51233"/>
    <w:rsid w:val="00C52657"/>
    <w:rsid w:val="00C663B6"/>
    <w:rsid w:val="00C73038"/>
    <w:rsid w:val="00C75B3A"/>
    <w:rsid w:val="00C82359"/>
    <w:rsid w:val="00C866CB"/>
    <w:rsid w:val="00C8791A"/>
    <w:rsid w:val="00C87A41"/>
    <w:rsid w:val="00C90723"/>
    <w:rsid w:val="00CA5E8A"/>
    <w:rsid w:val="00CA6AD9"/>
    <w:rsid w:val="00CA7DDA"/>
    <w:rsid w:val="00CB5799"/>
    <w:rsid w:val="00CC018B"/>
    <w:rsid w:val="00CC447F"/>
    <w:rsid w:val="00CC708E"/>
    <w:rsid w:val="00CD2806"/>
    <w:rsid w:val="00CD6054"/>
    <w:rsid w:val="00CE0C3B"/>
    <w:rsid w:val="00CE789D"/>
    <w:rsid w:val="00CF3F03"/>
    <w:rsid w:val="00D0111E"/>
    <w:rsid w:val="00D06190"/>
    <w:rsid w:val="00D073DC"/>
    <w:rsid w:val="00D13D90"/>
    <w:rsid w:val="00D22D32"/>
    <w:rsid w:val="00D24897"/>
    <w:rsid w:val="00D30809"/>
    <w:rsid w:val="00D33F11"/>
    <w:rsid w:val="00D354F5"/>
    <w:rsid w:val="00D41BED"/>
    <w:rsid w:val="00D5057C"/>
    <w:rsid w:val="00D51D26"/>
    <w:rsid w:val="00D55F81"/>
    <w:rsid w:val="00D56152"/>
    <w:rsid w:val="00D605AB"/>
    <w:rsid w:val="00D61DEB"/>
    <w:rsid w:val="00D660A2"/>
    <w:rsid w:val="00D67347"/>
    <w:rsid w:val="00D67F92"/>
    <w:rsid w:val="00D72497"/>
    <w:rsid w:val="00D85EDF"/>
    <w:rsid w:val="00D945AF"/>
    <w:rsid w:val="00DA146F"/>
    <w:rsid w:val="00DA2A33"/>
    <w:rsid w:val="00DA326F"/>
    <w:rsid w:val="00DC168B"/>
    <w:rsid w:val="00DC5644"/>
    <w:rsid w:val="00DD0B05"/>
    <w:rsid w:val="00DD1492"/>
    <w:rsid w:val="00DD2118"/>
    <w:rsid w:val="00DD4040"/>
    <w:rsid w:val="00DD6132"/>
    <w:rsid w:val="00DD7D59"/>
    <w:rsid w:val="00DD7D7F"/>
    <w:rsid w:val="00DE0D9A"/>
    <w:rsid w:val="00DE1D05"/>
    <w:rsid w:val="00DE3F34"/>
    <w:rsid w:val="00DF3B6B"/>
    <w:rsid w:val="00E06536"/>
    <w:rsid w:val="00E12274"/>
    <w:rsid w:val="00E12385"/>
    <w:rsid w:val="00E14640"/>
    <w:rsid w:val="00E227B8"/>
    <w:rsid w:val="00E35D62"/>
    <w:rsid w:val="00E43736"/>
    <w:rsid w:val="00E46AC7"/>
    <w:rsid w:val="00E512CE"/>
    <w:rsid w:val="00E519EA"/>
    <w:rsid w:val="00E56FE6"/>
    <w:rsid w:val="00E616B0"/>
    <w:rsid w:val="00E63D39"/>
    <w:rsid w:val="00E669D9"/>
    <w:rsid w:val="00E70C0A"/>
    <w:rsid w:val="00E73014"/>
    <w:rsid w:val="00E766EB"/>
    <w:rsid w:val="00E7790C"/>
    <w:rsid w:val="00E77AD9"/>
    <w:rsid w:val="00E854A1"/>
    <w:rsid w:val="00E9155C"/>
    <w:rsid w:val="00E952F4"/>
    <w:rsid w:val="00E967E3"/>
    <w:rsid w:val="00EC30FD"/>
    <w:rsid w:val="00EC507E"/>
    <w:rsid w:val="00ED10FA"/>
    <w:rsid w:val="00ED3A06"/>
    <w:rsid w:val="00ED64B7"/>
    <w:rsid w:val="00EE08E2"/>
    <w:rsid w:val="00EE42E6"/>
    <w:rsid w:val="00EF0CD1"/>
    <w:rsid w:val="00F0103A"/>
    <w:rsid w:val="00F0200D"/>
    <w:rsid w:val="00F07FEE"/>
    <w:rsid w:val="00F15450"/>
    <w:rsid w:val="00F2045C"/>
    <w:rsid w:val="00F20C60"/>
    <w:rsid w:val="00F25A64"/>
    <w:rsid w:val="00F45877"/>
    <w:rsid w:val="00F55F4A"/>
    <w:rsid w:val="00F56959"/>
    <w:rsid w:val="00F71F8F"/>
    <w:rsid w:val="00F737E2"/>
    <w:rsid w:val="00F73D17"/>
    <w:rsid w:val="00F8112D"/>
    <w:rsid w:val="00F91542"/>
    <w:rsid w:val="00F94EBC"/>
    <w:rsid w:val="00FA325A"/>
    <w:rsid w:val="00FA5E45"/>
    <w:rsid w:val="00FA5EF9"/>
    <w:rsid w:val="00FA6619"/>
    <w:rsid w:val="00FB37BF"/>
    <w:rsid w:val="00FB3FD8"/>
    <w:rsid w:val="00FB5A84"/>
    <w:rsid w:val="00FC34CB"/>
    <w:rsid w:val="00FC6EF4"/>
    <w:rsid w:val="00FD076E"/>
    <w:rsid w:val="00FD7A7F"/>
    <w:rsid w:val="00FE3509"/>
    <w:rsid w:val="00FF315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F334"/>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612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table" w:styleId="TableGrid">
    <w:name w:val="Table Grid"/>
    <w:basedOn w:val="TableNormal"/>
    <w:uiPriority w:val="39"/>
    <w:rsid w:val="007D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45C"/>
  </w:style>
  <w:style w:type="paragraph" w:styleId="Footer">
    <w:name w:val="footer"/>
    <w:basedOn w:val="Normal"/>
    <w:link w:val="FooterChar"/>
    <w:uiPriority w:val="99"/>
    <w:unhideWhenUsed/>
    <w:rsid w:val="0084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45C"/>
  </w:style>
  <w:style w:type="paragraph" w:styleId="CommentText">
    <w:name w:val="annotation text"/>
    <w:basedOn w:val="Normal"/>
    <w:link w:val="CommentTextChar"/>
    <w:uiPriority w:val="99"/>
    <w:semiHidden/>
    <w:unhideWhenUsed/>
    <w:rsid w:val="008F04C0"/>
    <w:pPr>
      <w:spacing w:line="240" w:lineRule="auto"/>
    </w:pPr>
    <w:rPr>
      <w:sz w:val="20"/>
      <w:szCs w:val="20"/>
    </w:rPr>
  </w:style>
  <w:style w:type="character" w:customStyle="1" w:styleId="CommentTextChar">
    <w:name w:val="Comment Text Char"/>
    <w:basedOn w:val="DefaultParagraphFont"/>
    <w:link w:val="CommentText"/>
    <w:uiPriority w:val="99"/>
    <w:semiHidden/>
    <w:rsid w:val="008F04C0"/>
    <w:rPr>
      <w:sz w:val="20"/>
      <w:szCs w:val="20"/>
    </w:rPr>
  </w:style>
  <w:style w:type="paragraph" w:customStyle="1" w:styleId="Default">
    <w:name w:val="Default"/>
    <w:rsid w:val="008F3896"/>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461262"/>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B33D23"/>
    <w:rPr>
      <w:b/>
      <w:bCs/>
    </w:rPr>
  </w:style>
  <w:style w:type="character" w:styleId="Emphasis">
    <w:name w:val="Emphasis"/>
    <w:basedOn w:val="DefaultParagraphFont"/>
    <w:uiPriority w:val="20"/>
    <w:qFormat/>
    <w:rsid w:val="00B33D23"/>
    <w:rPr>
      <w:i/>
      <w:iCs/>
    </w:rPr>
  </w:style>
  <w:style w:type="paragraph" w:customStyle="1" w:styleId="Pa5">
    <w:name w:val="Pa5"/>
    <w:basedOn w:val="Default"/>
    <w:next w:val="Default"/>
    <w:uiPriority w:val="99"/>
    <w:rsid w:val="009E49C9"/>
    <w:pPr>
      <w:spacing w:line="221" w:lineRule="atLeast"/>
    </w:pPr>
    <w:rPr>
      <w:rFonts w:ascii="PMJMNH+Avenir-Light" w:hAnsi="PMJMNH+Avenir-Light" w:cstheme="minorBidi"/>
      <w:color w:val="auto"/>
    </w:rPr>
  </w:style>
  <w:style w:type="paragraph" w:customStyle="1" w:styleId="Pa10">
    <w:name w:val="Pa10"/>
    <w:basedOn w:val="Default"/>
    <w:next w:val="Default"/>
    <w:uiPriority w:val="99"/>
    <w:rsid w:val="009E49C9"/>
    <w:pPr>
      <w:spacing w:line="221" w:lineRule="atLeast"/>
    </w:pPr>
    <w:rPr>
      <w:rFonts w:ascii="PMJMNH+Avenir-Light" w:hAnsi="PMJMNH+Avenir-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7928">
      <w:bodyDiv w:val="1"/>
      <w:marLeft w:val="0"/>
      <w:marRight w:val="0"/>
      <w:marTop w:val="0"/>
      <w:marBottom w:val="0"/>
      <w:divBdr>
        <w:top w:val="none" w:sz="0" w:space="0" w:color="auto"/>
        <w:left w:val="none" w:sz="0" w:space="0" w:color="auto"/>
        <w:bottom w:val="none" w:sz="0" w:space="0" w:color="auto"/>
        <w:right w:val="none" w:sz="0" w:space="0" w:color="auto"/>
      </w:divBdr>
    </w:div>
    <w:div w:id="290208493">
      <w:bodyDiv w:val="1"/>
      <w:marLeft w:val="0"/>
      <w:marRight w:val="0"/>
      <w:marTop w:val="0"/>
      <w:marBottom w:val="0"/>
      <w:divBdr>
        <w:top w:val="none" w:sz="0" w:space="0" w:color="auto"/>
        <w:left w:val="none" w:sz="0" w:space="0" w:color="auto"/>
        <w:bottom w:val="none" w:sz="0" w:space="0" w:color="auto"/>
        <w:right w:val="none" w:sz="0" w:space="0" w:color="auto"/>
      </w:divBdr>
    </w:div>
    <w:div w:id="427390523">
      <w:bodyDiv w:val="1"/>
      <w:marLeft w:val="0"/>
      <w:marRight w:val="0"/>
      <w:marTop w:val="0"/>
      <w:marBottom w:val="0"/>
      <w:divBdr>
        <w:top w:val="none" w:sz="0" w:space="0" w:color="auto"/>
        <w:left w:val="none" w:sz="0" w:space="0" w:color="auto"/>
        <w:bottom w:val="none" w:sz="0" w:space="0" w:color="auto"/>
        <w:right w:val="none" w:sz="0" w:space="0" w:color="auto"/>
      </w:divBdr>
    </w:div>
    <w:div w:id="513228697">
      <w:bodyDiv w:val="1"/>
      <w:marLeft w:val="0"/>
      <w:marRight w:val="0"/>
      <w:marTop w:val="0"/>
      <w:marBottom w:val="0"/>
      <w:divBdr>
        <w:top w:val="none" w:sz="0" w:space="0" w:color="auto"/>
        <w:left w:val="none" w:sz="0" w:space="0" w:color="auto"/>
        <w:bottom w:val="none" w:sz="0" w:space="0" w:color="auto"/>
        <w:right w:val="none" w:sz="0" w:space="0" w:color="auto"/>
      </w:divBdr>
    </w:div>
    <w:div w:id="645011285">
      <w:bodyDiv w:val="1"/>
      <w:marLeft w:val="0"/>
      <w:marRight w:val="0"/>
      <w:marTop w:val="0"/>
      <w:marBottom w:val="0"/>
      <w:divBdr>
        <w:top w:val="none" w:sz="0" w:space="0" w:color="auto"/>
        <w:left w:val="none" w:sz="0" w:space="0" w:color="auto"/>
        <w:bottom w:val="none" w:sz="0" w:space="0" w:color="auto"/>
        <w:right w:val="none" w:sz="0" w:space="0" w:color="auto"/>
      </w:divBdr>
      <w:divsChild>
        <w:div w:id="434446819">
          <w:marLeft w:val="0"/>
          <w:marRight w:val="0"/>
          <w:marTop w:val="0"/>
          <w:marBottom w:val="0"/>
          <w:divBdr>
            <w:top w:val="none" w:sz="0" w:space="0" w:color="auto"/>
            <w:left w:val="none" w:sz="0" w:space="0" w:color="auto"/>
            <w:bottom w:val="none" w:sz="0" w:space="0" w:color="auto"/>
            <w:right w:val="none" w:sz="0" w:space="0" w:color="auto"/>
          </w:divBdr>
          <w:divsChild>
            <w:div w:id="1468474431">
              <w:marLeft w:val="0"/>
              <w:marRight w:val="0"/>
              <w:marTop w:val="0"/>
              <w:marBottom w:val="0"/>
              <w:divBdr>
                <w:top w:val="none" w:sz="0" w:space="0" w:color="auto"/>
                <w:left w:val="none" w:sz="0" w:space="0" w:color="auto"/>
                <w:bottom w:val="none" w:sz="0" w:space="0" w:color="auto"/>
                <w:right w:val="none" w:sz="0" w:space="0" w:color="auto"/>
              </w:divBdr>
              <w:divsChild>
                <w:div w:id="672419137">
                  <w:marLeft w:val="0"/>
                  <w:marRight w:val="0"/>
                  <w:marTop w:val="0"/>
                  <w:marBottom w:val="0"/>
                  <w:divBdr>
                    <w:top w:val="none" w:sz="0" w:space="0" w:color="auto"/>
                    <w:left w:val="none" w:sz="0" w:space="0" w:color="auto"/>
                    <w:bottom w:val="none" w:sz="0" w:space="0" w:color="auto"/>
                    <w:right w:val="none" w:sz="0" w:space="0" w:color="auto"/>
                  </w:divBdr>
                  <w:divsChild>
                    <w:div w:id="1907372437">
                      <w:marLeft w:val="0"/>
                      <w:marRight w:val="0"/>
                      <w:marTop w:val="0"/>
                      <w:marBottom w:val="0"/>
                      <w:divBdr>
                        <w:top w:val="none" w:sz="0" w:space="0" w:color="auto"/>
                        <w:left w:val="none" w:sz="0" w:space="0" w:color="auto"/>
                        <w:bottom w:val="none" w:sz="0" w:space="0" w:color="auto"/>
                        <w:right w:val="none" w:sz="0" w:space="0" w:color="auto"/>
                      </w:divBdr>
                      <w:divsChild>
                        <w:div w:id="683673046">
                          <w:marLeft w:val="0"/>
                          <w:marRight w:val="0"/>
                          <w:marTop w:val="0"/>
                          <w:marBottom w:val="0"/>
                          <w:divBdr>
                            <w:top w:val="none" w:sz="0" w:space="0" w:color="auto"/>
                            <w:left w:val="none" w:sz="0" w:space="0" w:color="auto"/>
                            <w:bottom w:val="none" w:sz="0" w:space="0" w:color="auto"/>
                            <w:right w:val="none" w:sz="0" w:space="0" w:color="auto"/>
                          </w:divBdr>
                          <w:divsChild>
                            <w:div w:id="1076973788">
                              <w:marLeft w:val="0"/>
                              <w:marRight w:val="0"/>
                              <w:marTop w:val="0"/>
                              <w:marBottom w:val="0"/>
                              <w:divBdr>
                                <w:top w:val="none" w:sz="0" w:space="0" w:color="auto"/>
                                <w:left w:val="none" w:sz="0" w:space="0" w:color="auto"/>
                                <w:bottom w:val="none" w:sz="0" w:space="0" w:color="auto"/>
                                <w:right w:val="none" w:sz="0" w:space="0" w:color="auto"/>
                              </w:divBdr>
                              <w:divsChild>
                                <w:div w:id="1255355851">
                                  <w:marLeft w:val="0"/>
                                  <w:marRight w:val="0"/>
                                  <w:marTop w:val="0"/>
                                  <w:marBottom w:val="1200"/>
                                  <w:divBdr>
                                    <w:top w:val="none" w:sz="0" w:space="0" w:color="auto"/>
                                    <w:left w:val="none" w:sz="0" w:space="0" w:color="auto"/>
                                    <w:bottom w:val="none" w:sz="0" w:space="0" w:color="auto"/>
                                    <w:right w:val="none" w:sz="0" w:space="0" w:color="auto"/>
                                  </w:divBdr>
                                  <w:divsChild>
                                    <w:div w:id="15053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494908677">
      <w:bodyDiv w:val="1"/>
      <w:marLeft w:val="0"/>
      <w:marRight w:val="0"/>
      <w:marTop w:val="0"/>
      <w:marBottom w:val="0"/>
      <w:divBdr>
        <w:top w:val="none" w:sz="0" w:space="0" w:color="auto"/>
        <w:left w:val="none" w:sz="0" w:space="0" w:color="auto"/>
        <w:bottom w:val="none" w:sz="0" w:space="0" w:color="auto"/>
        <w:right w:val="none" w:sz="0" w:space="0" w:color="auto"/>
      </w:divBdr>
    </w:div>
    <w:div w:id="1529637984">
      <w:bodyDiv w:val="1"/>
      <w:marLeft w:val="0"/>
      <w:marRight w:val="0"/>
      <w:marTop w:val="0"/>
      <w:marBottom w:val="2250"/>
      <w:divBdr>
        <w:top w:val="none" w:sz="0" w:space="0" w:color="auto"/>
        <w:left w:val="none" w:sz="0" w:space="0" w:color="auto"/>
        <w:bottom w:val="none" w:sz="0" w:space="0" w:color="auto"/>
        <w:right w:val="none" w:sz="0" w:space="0" w:color="auto"/>
      </w:divBdr>
      <w:divsChild>
        <w:div w:id="1340161541">
          <w:marLeft w:val="0"/>
          <w:marRight w:val="0"/>
          <w:marTop w:val="0"/>
          <w:marBottom w:val="0"/>
          <w:divBdr>
            <w:top w:val="none" w:sz="0" w:space="0" w:color="auto"/>
            <w:left w:val="none" w:sz="0" w:space="0" w:color="auto"/>
            <w:bottom w:val="none" w:sz="0" w:space="0" w:color="auto"/>
            <w:right w:val="none" w:sz="0" w:space="0" w:color="auto"/>
          </w:divBdr>
          <w:divsChild>
            <w:div w:id="12659460">
              <w:marLeft w:val="0"/>
              <w:marRight w:val="0"/>
              <w:marTop w:val="0"/>
              <w:marBottom w:val="0"/>
              <w:divBdr>
                <w:top w:val="none" w:sz="0" w:space="0" w:color="auto"/>
                <w:left w:val="none" w:sz="0" w:space="0" w:color="auto"/>
                <w:bottom w:val="none" w:sz="0" w:space="0" w:color="auto"/>
                <w:right w:val="none" w:sz="0" w:space="0" w:color="auto"/>
              </w:divBdr>
              <w:divsChild>
                <w:div w:id="10100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3822">
      <w:bodyDiv w:val="1"/>
      <w:marLeft w:val="0"/>
      <w:marRight w:val="0"/>
      <w:marTop w:val="0"/>
      <w:marBottom w:val="0"/>
      <w:divBdr>
        <w:top w:val="none" w:sz="0" w:space="0" w:color="auto"/>
        <w:left w:val="none" w:sz="0" w:space="0" w:color="auto"/>
        <w:bottom w:val="none" w:sz="0" w:space="0" w:color="auto"/>
        <w:right w:val="none" w:sz="0" w:space="0" w:color="auto"/>
      </w:divBdr>
    </w:div>
    <w:div w:id="1705398411">
      <w:bodyDiv w:val="1"/>
      <w:marLeft w:val="0"/>
      <w:marRight w:val="0"/>
      <w:marTop w:val="0"/>
      <w:marBottom w:val="0"/>
      <w:divBdr>
        <w:top w:val="none" w:sz="0" w:space="0" w:color="auto"/>
        <w:left w:val="none" w:sz="0" w:space="0" w:color="auto"/>
        <w:bottom w:val="none" w:sz="0" w:space="0" w:color="auto"/>
        <w:right w:val="none" w:sz="0" w:space="0" w:color="auto"/>
      </w:divBdr>
    </w:div>
    <w:div w:id="195363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2019-03-07T15:08:00Z</cp:lastPrinted>
  <dcterms:created xsi:type="dcterms:W3CDTF">2019-04-10T09:20:00Z</dcterms:created>
  <dcterms:modified xsi:type="dcterms:W3CDTF">2019-04-10T09:20:00Z</dcterms:modified>
</cp:coreProperties>
</file>