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B5" w:rsidRPr="003D570A" w:rsidRDefault="00BD16B5">
      <w:pPr>
        <w:rPr>
          <w:b/>
          <w:sz w:val="32"/>
          <w:szCs w:val="32"/>
        </w:rPr>
      </w:pPr>
      <w:bookmarkStart w:id="0" w:name="_GoBack"/>
      <w:bookmarkEnd w:id="0"/>
    </w:p>
    <w:p w:rsidR="00BD16B5" w:rsidRPr="003D570A" w:rsidRDefault="00BD16B5" w:rsidP="00BD16B5">
      <w:pPr>
        <w:jc w:val="center"/>
        <w:rPr>
          <w:b/>
          <w:sz w:val="32"/>
          <w:szCs w:val="32"/>
        </w:rPr>
      </w:pPr>
      <w:r w:rsidRPr="003D570A">
        <w:rPr>
          <w:noProof/>
          <w:lang w:eastAsia="en-IE"/>
        </w:rPr>
        <w:drawing>
          <wp:inline distT="0" distB="0" distL="0" distR="0" wp14:anchorId="2E5851D3" wp14:editId="0D47E199">
            <wp:extent cx="1695450" cy="1381125"/>
            <wp:effectExtent l="0" t="0" r="0" b="9525"/>
            <wp:docPr id="1" name="Picture 1" descr="C:\Users\showard\AppData\Local\Microsoft\Windows\Temporary Internet Files\Content.Outlook\FT3RJNRR\TUI 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ward\AppData\Local\Microsoft\Windows\Temporary Internet Files\Content.Outlook\FT3RJNRR\TUI logo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F72" w:rsidRPr="003D570A" w:rsidRDefault="00311F72" w:rsidP="00BD16B5">
      <w:pPr>
        <w:jc w:val="center"/>
        <w:rPr>
          <w:b/>
          <w:sz w:val="32"/>
          <w:szCs w:val="32"/>
        </w:rPr>
      </w:pPr>
    </w:p>
    <w:p w:rsidR="00E70C0A" w:rsidRPr="003D570A" w:rsidRDefault="00A12494" w:rsidP="00BD16B5">
      <w:pPr>
        <w:jc w:val="center"/>
        <w:rPr>
          <w:b/>
          <w:sz w:val="32"/>
          <w:szCs w:val="32"/>
        </w:rPr>
      </w:pPr>
      <w:r w:rsidRPr="003D570A">
        <w:rPr>
          <w:b/>
          <w:sz w:val="32"/>
          <w:szCs w:val="32"/>
        </w:rPr>
        <w:t>Teachers’ Union of Ireland</w:t>
      </w:r>
    </w:p>
    <w:p w:rsidR="00870E5E" w:rsidRPr="003D570A" w:rsidRDefault="00A12494" w:rsidP="00BD16B5">
      <w:pPr>
        <w:jc w:val="center"/>
        <w:rPr>
          <w:b/>
          <w:sz w:val="32"/>
          <w:szCs w:val="32"/>
        </w:rPr>
      </w:pPr>
      <w:r w:rsidRPr="003D570A">
        <w:rPr>
          <w:b/>
          <w:sz w:val="32"/>
          <w:szCs w:val="32"/>
        </w:rPr>
        <w:t xml:space="preserve">Response to </w:t>
      </w:r>
      <w:r w:rsidR="009B11C9">
        <w:rPr>
          <w:b/>
          <w:sz w:val="32"/>
          <w:szCs w:val="32"/>
        </w:rPr>
        <w:t>Inspectorate Consultation</w:t>
      </w:r>
      <w:r w:rsidRPr="003D570A">
        <w:rPr>
          <w:b/>
          <w:sz w:val="32"/>
          <w:szCs w:val="32"/>
        </w:rPr>
        <w:t xml:space="preserve"> </w:t>
      </w:r>
    </w:p>
    <w:p w:rsidR="00A12494" w:rsidRPr="003D570A" w:rsidRDefault="00A12494" w:rsidP="00BD16B5">
      <w:pPr>
        <w:jc w:val="center"/>
        <w:rPr>
          <w:b/>
          <w:sz w:val="32"/>
          <w:szCs w:val="32"/>
        </w:rPr>
      </w:pPr>
      <w:r w:rsidRPr="003D570A">
        <w:rPr>
          <w:b/>
          <w:sz w:val="32"/>
          <w:szCs w:val="32"/>
        </w:rPr>
        <w:t>(</w:t>
      </w:r>
      <w:r w:rsidR="00EE42E6" w:rsidRPr="003D570A">
        <w:rPr>
          <w:b/>
          <w:sz w:val="32"/>
          <w:szCs w:val="32"/>
        </w:rPr>
        <w:t>September</w:t>
      </w:r>
      <w:r w:rsidR="005160BD" w:rsidRPr="003D570A">
        <w:rPr>
          <w:b/>
          <w:sz w:val="32"/>
          <w:szCs w:val="32"/>
        </w:rPr>
        <w:t xml:space="preserve"> </w:t>
      </w:r>
      <w:r w:rsidRPr="003D570A">
        <w:rPr>
          <w:b/>
          <w:sz w:val="32"/>
          <w:szCs w:val="32"/>
        </w:rPr>
        <w:t>2014)</w:t>
      </w:r>
    </w:p>
    <w:p w:rsidR="009B11C9" w:rsidRPr="00E35D62" w:rsidRDefault="00EE42E6" w:rsidP="00E35D62">
      <w:pPr>
        <w:spacing w:line="360" w:lineRule="auto"/>
        <w:rPr>
          <w:sz w:val="24"/>
          <w:szCs w:val="24"/>
        </w:rPr>
      </w:pPr>
      <w:r w:rsidRPr="00E35D62">
        <w:rPr>
          <w:sz w:val="24"/>
          <w:szCs w:val="24"/>
        </w:rPr>
        <w:t xml:space="preserve">TUI represents teachers (10,000+) employed by Education and Training Boards (ETBs) and in Community and Comprehensive (C&amp;C) Schools. </w:t>
      </w:r>
      <w:r w:rsidR="00E35D62">
        <w:rPr>
          <w:sz w:val="24"/>
          <w:szCs w:val="24"/>
        </w:rPr>
        <w:t xml:space="preserve"> Following a request for submission on a number of issues including a review of inspection and appeals processes, TUI respectfully makes the enclosed points about each individual document.</w:t>
      </w:r>
    </w:p>
    <w:p w:rsidR="009B11C9" w:rsidRPr="00E35D62" w:rsidRDefault="009B11C9" w:rsidP="00E35D62">
      <w:pPr>
        <w:spacing w:line="360" w:lineRule="auto"/>
        <w:rPr>
          <w:sz w:val="24"/>
          <w:szCs w:val="24"/>
        </w:rPr>
      </w:pPr>
    </w:p>
    <w:p w:rsidR="009B11C9" w:rsidRPr="00E35D62" w:rsidRDefault="009B11C9" w:rsidP="00E35D62">
      <w:pPr>
        <w:spacing w:line="360" w:lineRule="auto"/>
        <w:rPr>
          <w:rFonts w:ascii="Calibri" w:hAnsi="Calibri" w:cs="Times New Roman"/>
          <w:sz w:val="24"/>
          <w:szCs w:val="24"/>
          <w:u w:val="single"/>
        </w:rPr>
      </w:pPr>
      <w:r w:rsidRPr="00E35D62">
        <w:rPr>
          <w:rFonts w:ascii="Calibri" w:hAnsi="Calibri" w:cs="Times New Roman"/>
          <w:sz w:val="24"/>
          <w:szCs w:val="24"/>
          <w:u w:val="single"/>
        </w:rPr>
        <w:t>Education Act 1998 (Publication of Inspection Reports on Schools and Centres of Education) Regulations 2014:</w:t>
      </w:r>
    </w:p>
    <w:p w:rsidR="009B11C9" w:rsidRPr="009B11C9" w:rsidRDefault="00E35D62" w:rsidP="00E35D62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TUI has</w:t>
      </w:r>
      <w:r w:rsidR="009B11C9" w:rsidRPr="009B11C9">
        <w:rPr>
          <w:rFonts w:ascii="Calibri" w:hAnsi="Calibri" w:cs="Times New Roman"/>
          <w:sz w:val="24"/>
          <w:szCs w:val="24"/>
        </w:rPr>
        <w:t xml:space="preserve"> nothing to add or amend.</w:t>
      </w: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p w:rsidR="009B11C9" w:rsidRPr="00E35D62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  <w:u w:val="single"/>
        </w:rPr>
      </w:pP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  <w:u w:val="single"/>
        </w:rPr>
      </w:pPr>
      <w:r w:rsidRPr="009B11C9">
        <w:rPr>
          <w:rFonts w:ascii="Calibri" w:hAnsi="Calibri" w:cs="Times New Roman"/>
          <w:sz w:val="24"/>
          <w:szCs w:val="24"/>
          <w:u w:val="single"/>
        </w:rPr>
        <w:t>Procedure for Review of Inspections on Schools and Teachers Under Section 13(9) of the Education Act 1998:</w:t>
      </w:r>
    </w:p>
    <w:p w:rsidR="009B11C9" w:rsidRPr="009B11C9" w:rsidRDefault="00E35D62" w:rsidP="00E35D62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TUI</w:t>
      </w:r>
      <w:r w:rsidR="009B11C9" w:rsidRPr="009B11C9">
        <w:rPr>
          <w:rFonts w:ascii="Calibri" w:hAnsi="Calibri" w:cs="Times New Roman"/>
          <w:sz w:val="24"/>
          <w:szCs w:val="24"/>
        </w:rPr>
        <w:t xml:space="preserve"> understand</w:t>
      </w:r>
      <w:r>
        <w:rPr>
          <w:rFonts w:ascii="Calibri" w:hAnsi="Calibri" w:cs="Times New Roman"/>
          <w:sz w:val="24"/>
          <w:szCs w:val="24"/>
        </w:rPr>
        <w:t>s</w:t>
      </w:r>
      <w:r w:rsidR="009B11C9" w:rsidRPr="009B11C9">
        <w:rPr>
          <w:rFonts w:ascii="Calibri" w:hAnsi="Calibri" w:cs="Times New Roman"/>
          <w:sz w:val="24"/>
          <w:szCs w:val="24"/>
        </w:rPr>
        <w:t xml:space="preserve"> from the last Education Sub-Committee meeting that many teachers are not aware of the procedure for review under section 1.2.  Perhaps the Inspectorate needs to communicate this better to schools.</w:t>
      </w: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9B11C9">
        <w:rPr>
          <w:rFonts w:ascii="Calibri" w:hAnsi="Calibri" w:cs="Times New Roman"/>
          <w:sz w:val="24"/>
          <w:szCs w:val="24"/>
        </w:rPr>
        <w:lastRenderedPageBreak/>
        <w:t>Under section 1.5(3), perhaps the “relationship” should also include “open” or does this expose our members?</w:t>
      </w: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9B11C9">
        <w:rPr>
          <w:rFonts w:ascii="Calibri" w:hAnsi="Calibri" w:cs="Times New Roman"/>
          <w:sz w:val="24"/>
          <w:szCs w:val="24"/>
        </w:rPr>
        <w:t>Under section 1.5(7), can members show documents to their trade union?</w:t>
      </w: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9B11C9">
        <w:rPr>
          <w:rFonts w:ascii="Calibri" w:hAnsi="Calibri" w:cs="Times New Roman"/>
          <w:sz w:val="24"/>
          <w:szCs w:val="24"/>
        </w:rPr>
        <w:t>Under section 1.5(8), can a trade union representative be a “friend”?  Why are legal representatives not allowed?  The issue of trade union reps being friends also applies to section 3.5</w:t>
      </w: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9B11C9">
        <w:rPr>
          <w:rFonts w:ascii="Calibri" w:hAnsi="Calibri" w:cs="Times New Roman"/>
          <w:sz w:val="24"/>
          <w:szCs w:val="24"/>
        </w:rPr>
        <w:t>Under section 2.2, what happens if a teacher is not happy with something in the report that wasn’t mentioned by the inspector at the oral feedback stage?</w:t>
      </w: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9B11C9">
        <w:rPr>
          <w:rFonts w:ascii="Calibri" w:hAnsi="Calibri" w:cs="Times New Roman"/>
          <w:sz w:val="24"/>
          <w:szCs w:val="24"/>
        </w:rPr>
        <w:t>Under section 2.3, could the DES include the website link?  I used six clicks on the DES website and couldn’t find the inspectorate regions and relevant personnel.  I then resorted to Google and found it in one click.</w:t>
      </w: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  <w:u w:val="single"/>
        </w:rPr>
      </w:pPr>
      <w:r w:rsidRPr="009B11C9">
        <w:rPr>
          <w:rFonts w:ascii="Calibri" w:hAnsi="Calibri" w:cs="Times New Roman"/>
          <w:sz w:val="24"/>
          <w:szCs w:val="24"/>
          <w:u w:val="single"/>
        </w:rPr>
        <w:t>Code of Practice for the Inspectorate:</w:t>
      </w: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9B11C9">
        <w:rPr>
          <w:rFonts w:ascii="Calibri" w:hAnsi="Calibri" w:cs="Times New Roman"/>
          <w:sz w:val="24"/>
          <w:szCs w:val="24"/>
        </w:rPr>
        <w:t>The document talks a lot about “promoting professional dialogue”, “respectful engagement” and promoting/supporting national programmes.  However, it only mentions supporting teachers and school leaders in the appendix.  Is the “engagement” and “dialogue” only to be one way?</w:t>
      </w: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  <w:u w:val="single"/>
        </w:rPr>
      </w:pPr>
      <w:r w:rsidRPr="009B11C9">
        <w:rPr>
          <w:rFonts w:ascii="Calibri" w:hAnsi="Calibri" w:cs="Times New Roman"/>
          <w:sz w:val="24"/>
          <w:szCs w:val="24"/>
          <w:u w:val="single"/>
        </w:rPr>
        <w:t>Guidelines for the Publication of School Inspection Reports:</w:t>
      </w: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9B11C9">
        <w:rPr>
          <w:rFonts w:ascii="Calibri" w:hAnsi="Calibri" w:cs="Times New Roman"/>
          <w:sz w:val="24"/>
          <w:szCs w:val="24"/>
        </w:rPr>
        <w:t xml:space="preserve">There’s a typo on line 3 of section 1.4.  </w:t>
      </w:r>
      <w:r w:rsidR="00E35D62">
        <w:rPr>
          <w:rFonts w:ascii="Calibri" w:hAnsi="Calibri" w:cs="Times New Roman"/>
          <w:sz w:val="24"/>
          <w:szCs w:val="24"/>
        </w:rPr>
        <w:t>TUI believes</w:t>
      </w:r>
      <w:r w:rsidRPr="009B11C9">
        <w:rPr>
          <w:rFonts w:ascii="Calibri" w:hAnsi="Calibri" w:cs="Times New Roman"/>
          <w:sz w:val="24"/>
          <w:szCs w:val="24"/>
        </w:rPr>
        <w:t xml:space="preserve"> that “guidelines to not apply” should say “do not apply”.</w:t>
      </w:r>
    </w:p>
    <w:p w:rsidR="009B11C9" w:rsidRPr="009B11C9" w:rsidRDefault="009B11C9" w:rsidP="00E35D62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9B11C9">
        <w:rPr>
          <w:rFonts w:ascii="Calibri" w:hAnsi="Calibri" w:cs="Times New Roman"/>
          <w:sz w:val="24"/>
          <w:szCs w:val="24"/>
        </w:rPr>
        <w:t>Under sections 3.5 and 3.8, if the chairperson of the Board of Management is not available can the role be deputised to someone else?</w:t>
      </w:r>
    </w:p>
    <w:p w:rsidR="00F737E2" w:rsidRPr="00E35D62" w:rsidRDefault="00F737E2" w:rsidP="00E35D62">
      <w:pPr>
        <w:spacing w:line="360" w:lineRule="auto"/>
        <w:jc w:val="both"/>
        <w:rPr>
          <w:sz w:val="24"/>
          <w:szCs w:val="24"/>
        </w:rPr>
      </w:pPr>
      <w:r w:rsidRPr="00E35D62">
        <w:rPr>
          <w:sz w:val="24"/>
          <w:szCs w:val="24"/>
        </w:rPr>
        <w:t xml:space="preserve"> </w:t>
      </w:r>
    </w:p>
    <w:p w:rsidR="009B11C9" w:rsidRPr="00E35D62" w:rsidRDefault="009B11C9" w:rsidP="00E35D62">
      <w:pPr>
        <w:spacing w:line="360" w:lineRule="auto"/>
        <w:jc w:val="both"/>
        <w:rPr>
          <w:sz w:val="24"/>
          <w:szCs w:val="24"/>
          <w:u w:val="single"/>
        </w:rPr>
      </w:pPr>
      <w:r w:rsidRPr="00E35D62">
        <w:rPr>
          <w:sz w:val="24"/>
          <w:szCs w:val="24"/>
          <w:u w:val="single"/>
        </w:rPr>
        <w:t>Teacher Questionnaires as part of the WSE-MLL process:</w:t>
      </w:r>
    </w:p>
    <w:p w:rsidR="009B11C9" w:rsidRPr="00E35D62" w:rsidRDefault="009B11C9" w:rsidP="00E35D62">
      <w:pPr>
        <w:spacing w:line="360" w:lineRule="auto"/>
        <w:jc w:val="both"/>
        <w:rPr>
          <w:sz w:val="24"/>
          <w:szCs w:val="24"/>
        </w:rPr>
      </w:pPr>
      <w:r w:rsidRPr="00E35D62">
        <w:rPr>
          <w:sz w:val="24"/>
          <w:szCs w:val="24"/>
        </w:rPr>
        <w:t>At our meeting of July 24</w:t>
      </w:r>
      <w:r w:rsidRPr="00E35D62">
        <w:rPr>
          <w:sz w:val="24"/>
          <w:szCs w:val="24"/>
          <w:vertAlign w:val="superscript"/>
        </w:rPr>
        <w:t>th</w:t>
      </w:r>
      <w:r w:rsidRPr="00E35D62">
        <w:rPr>
          <w:sz w:val="24"/>
          <w:szCs w:val="24"/>
        </w:rPr>
        <w:t xml:space="preserve">, 2014 </w:t>
      </w:r>
      <w:r w:rsidR="00E35D62">
        <w:rPr>
          <w:sz w:val="24"/>
          <w:szCs w:val="24"/>
        </w:rPr>
        <w:t>the Inspcetorate</w:t>
      </w:r>
      <w:r w:rsidRPr="00E35D62">
        <w:rPr>
          <w:sz w:val="24"/>
          <w:szCs w:val="24"/>
        </w:rPr>
        <w:t xml:space="preserve"> answered many of our concerns about the process as currently carried out in the case of the pilot process.  However, </w:t>
      </w:r>
      <w:r w:rsidR="00E35D62">
        <w:rPr>
          <w:sz w:val="24"/>
          <w:szCs w:val="24"/>
        </w:rPr>
        <w:t>TUI has</w:t>
      </w:r>
      <w:r w:rsidRPr="00E35D62">
        <w:rPr>
          <w:sz w:val="24"/>
          <w:szCs w:val="24"/>
        </w:rPr>
        <w:t xml:space="preserve"> some concerns about the overall concept.  For example, is this situation, and that of teacher questionnaires of the inspection process, the full extent </w:t>
      </w:r>
      <w:r w:rsidRPr="00E35D62">
        <w:rPr>
          <w:sz w:val="24"/>
          <w:szCs w:val="24"/>
        </w:rPr>
        <w:lastRenderedPageBreak/>
        <w:t xml:space="preserve">to which questionnaires will be used.  Is the Inspectorate intending to use questionnaires for other purposes in future and if so, in what context and for what purpose?  </w:t>
      </w:r>
      <w:r w:rsidR="00E35D62">
        <w:rPr>
          <w:sz w:val="24"/>
          <w:szCs w:val="24"/>
        </w:rPr>
        <w:t>TUI</w:t>
      </w:r>
      <w:r w:rsidRPr="00E35D62">
        <w:rPr>
          <w:sz w:val="24"/>
          <w:szCs w:val="24"/>
        </w:rPr>
        <w:t xml:space="preserve"> acknowledge</w:t>
      </w:r>
      <w:r w:rsidR="00E35D62">
        <w:rPr>
          <w:sz w:val="24"/>
          <w:szCs w:val="24"/>
        </w:rPr>
        <w:t>s</w:t>
      </w:r>
      <w:r w:rsidRPr="00E35D62">
        <w:rPr>
          <w:sz w:val="24"/>
          <w:szCs w:val="24"/>
        </w:rPr>
        <w:t xml:space="preserve"> the internal safeguards currently in place as discussed on July 24</w:t>
      </w:r>
      <w:r w:rsidRPr="00E35D62">
        <w:rPr>
          <w:sz w:val="24"/>
          <w:szCs w:val="24"/>
          <w:vertAlign w:val="superscript"/>
        </w:rPr>
        <w:t>th</w:t>
      </w:r>
      <w:r w:rsidRPr="00E35D62">
        <w:rPr>
          <w:sz w:val="24"/>
          <w:szCs w:val="24"/>
        </w:rPr>
        <w:t xml:space="preserve"> but safeguards owe nothing to legality so could such safeguards be overcome by a Freedom of Information request which could then lead to the identification of an individual school?  </w:t>
      </w:r>
      <w:r w:rsidR="00E35D62">
        <w:rPr>
          <w:sz w:val="24"/>
          <w:szCs w:val="24"/>
        </w:rPr>
        <w:t>The response of TUI</w:t>
      </w:r>
      <w:r w:rsidRPr="00E35D62">
        <w:rPr>
          <w:sz w:val="24"/>
          <w:szCs w:val="24"/>
        </w:rPr>
        <w:t xml:space="preserve"> to this matter will be coloured by any response from the Inspectorate.</w:t>
      </w:r>
    </w:p>
    <w:p w:rsidR="009B11C9" w:rsidRPr="00E35D62" w:rsidRDefault="009B11C9" w:rsidP="00E35D62">
      <w:pPr>
        <w:spacing w:line="360" w:lineRule="auto"/>
        <w:jc w:val="both"/>
        <w:rPr>
          <w:sz w:val="24"/>
          <w:szCs w:val="24"/>
        </w:rPr>
      </w:pPr>
    </w:p>
    <w:p w:rsidR="00970670" w:rsidRPr="00E35D62" w:rsidRDefault="00E35D62" w:rsidP="00E35D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TUI</w:t>
      </w:r>
      <w:r w:rsidR="00E73014" w:rsidRPr="00E35D62">
        <w:rPr>
          <w:sz w:val="24"/>
          <w:szCs w:val="24"/>
        </w:rPr>
        <w:t xml:space="preserve"> </w:t>
      </w:r>
      <w:r w:rsidR="00EE42E6" w:rsidRPr="00E35D62">
        <w:rPr>
          <w:sz w:val="24"/>
          <w:szCs w:val="24"/>
        </w:rPr>
        <w:t>is available</w:t>
      </w:r>
      <w:r w:rsidR="004341CF" w:rsidRPr="00E35D62">
        <w:rPr>
          <w:sz w:val="24"/>
          <w:szCs w:val="24"/>
        </w:rPr>
        <w:t xml:space="preserve"> to participate in face to face dialogue in order to develop the above points in more detail</w:t>
      </w:r>
      <w:r w:rsidR="00EE42E6" w:rsidRPr="00E35D62">
        <w:rPr>
          <w:sz w:val="24"/>
          <w:szCs w:val="24"/>
        </w:rPr>
        <w:t xml:space="preserve"> should you wish to do so</w:t>
      </w:r>
      <w:r w:rsidR="004341CF" w:rsidRPr="00E35D62">
        <w:rPr>
          <w:sz w:val="24"/>
          <w:szCs w:val="24"/>
        </w:rPr>
        <w:t xml:space="preserve">. </w:t>
      </w:r>
    </w:p>
    <w:p w:rsidR="00E73014" w:rsidRPr="00E35D62" w:rsidRDefault="00E73014" w:rsidP="00E35D62">
      <w:pPr>
        <w:spacing w:line="360" w:lineRule="auto"/>
        <w:jc w:val="both"/>
        <w:rPr>
          <w:sz w:val="24"/>
          <w:szCs w:val="24"/>
        </w:rPr>
      </w:pPr>
      <w:r w:rsidRPr="00E35D62">
        <w:rPr>
          <w:sz w:val="24"/>
          <w:szCs w:val="24"/>
        </w:rPr>
        <w:t xml:space="preserve">Ends </w:t>
      </w:r>
    </w:p>
    <w:p w:rsidR="00E73014" w:rsidRPr="00E35D62" w:rsidRDefault="00EE42E6" w:rsidP="00E35D62">
      <w:pPr>
        <w:spacing w:line="360" w:lineRule="auto"/>
        <w:jc w:val="both"/>
        <w:rPr>
          <w:b/>
          <w:sz w:val="24"/>
          <w:szCs w:val="24"/>
        </w:rPr>
      </w:pPr>
      <w:r w:rsidRPr="00E35D62">
        <w:rPr>
          <w:b/>
          <w:sz w:val="24"/>
          <w:szCs w:val="24"/>
        </w:rPr>
        <w:t>David Duffy</w:t>
      </w:r>
      <w:r w:rsidR="00E73014" w:rsidRPr="00E35D62">
        <w:rPr>
          <w:b/>
          <w:sz w:val="24"/>
          <w:szCs w:val="24"/>
        </w:rPr>
        <w:t xml:space="preserve"> (Education/Research Officer, TUI)</w:t>
      </w:r>
      <w:r w:rsidR="00F20C60" w:rsidRPr="00E35D62">
        <w:rPr>
          <w:b/>
          <w:sz w:val="24"/>
          <w:szCs w:val="24"/>
        </w:rPr>
        <w:t>,</w:t>
      </w:r>
      <w:r w:rsidRPr="00E35D62">
        <w:rPr>
          <w:b/>
          <w:sz w:val="24"/>
          <w:szCs w:val="24"/>
        </w:rPr>
        <w:t xml:space="preserve"> </w:t>
      </w:r>
      <w:hyperlink r:id="rId6" w:history="1">
        <w:r w:rsidRPr="00E35D62">
          <w:rPr>
            <w:rStyle w:val="Hyperlink"/>
            <w:b/>
            <w:i/>
            <w:color w:val="auto"/>
            <w:sz w:val="24"/>
            <w:szCs w:val="24"/>
            <w:u w:val="none"/>
          </w:rPr>
          <w:t>dduffy@tui.ie</w:t>
        </w:r>
      </w:hyperlink>
      <w:r w:rsidRPr="00E35D62">
        <w:rPr>
          <w:b/>
          <w:sz w:val="24"/>
          <w:szCs w:val="24"/>
        </w:rPr>
        <w:t>, 01 4922588</w:t>
      </w:r>
    </w:p>
    <w:sectPr w:rsidR="00E73014" w:rsidRPr="00E35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0B9D"/>
    <w:multiLevelType w:val="hybridMultilevel"/>
    <w:tmpl w:val="6B0C43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99C"/>
    <w:multiLevelType w:val="hybridMultilevel"/>
    <w:tmpl w:val="54966D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1679D"/>
    <w:multiLevelType w:val="hybridMultilevel"/>
    <w:tmpl w:val="74C4F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F09FF"/>
    <w:multiLevelType w:val="hybridMultilevel"/>
    <w:tmpl w:val="4FC6C5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50065"/>
    <w:multiLevelType w:val="hybridMultilevel"/>
    <w:tmpl w:val="9AEE2F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B3B96"/>
    <w:multiLevelType w:val="hybridMultilevel"/>
    <w:tmpl w:val="6CA2F170"/>
    <w:lvl w:ilvl="0" w:tplc="F88A4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60FEF"/>
    <w:multiLevelType w:val="hybridMultilevel"/>
    <w:tmpl w:val="C9402A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709B7"/>
    <w:multiLevelType w:val="hybridMultilevel"/>
    <w:tmpl w:val="C4D005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A1BC9"/>
    <w:multiLevelType w:val="hybridMultilevel"/>
    <w:tmpl w:val="63924E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B4"/>
    <w:rsid w:val="00001F6F"/>
    <w:rsid w:val="00020DB4"/>
    <w:rsid w:val="00021C7B"/>
    <w:rsid w:val="00030807"/>
    <w:rsid w:val="000478ED"/>
    <w:rsid w:val="000B6D1B"/>
    <w:rsid w:val="000C09F6"/>
    <w:rsid w:val="000C2063"/>
    <w:rsid w:val="000E22A7"/>
    <w:rsid w:val="000E49FC"/>
    <w:rsid w:val="001036F9"/>
    <w:rsid w:val="0010428C"/>
    <w:rsid w:val="00123F17"/>
    <w:rsid w:val="001674FA"/>
    <w:rsid w:val="0018717F"/>
    <w:rsid w:val="0019362F"/>
    <w:rsid w:val="00194340"/>
    <w:rsid w:val="00197292"/>
    <w:rsid w:val="001A0ED8"/>
    <w:rsid w:val="001D412D"/>
    <w:rsid w:val="001F1CA9"/>
    <w:rsid w:val="00246EE2"/>
    <w:rsid w:val="00282CA3"/>
    <w:rsid w:val="00290384"/>
    <w:rsid w:val="002A569F"/>
    <w:rsid w:val="002B3562"/>
    <w:rsid w:val="002D6B85"/>
    <w:rsid w:val="002E13B8"/>
    <w:rsid w:val="002E553B"/>
    <w:rsid w:val="002F2AD1"/>
    <w:rsid w:val="00311F72"/>
    <w:rsid w:val="003500DD"/>
    <w:rsid w:val="003505F9"/>
    <w:rsid w:val="003B07B6"/>
    <w:rsid w:val="003C18DB"/>
    <w:rsid w:val="003D29AE"/>
    <w:rsid w:val="003D4A25"/>
    <w:rsid w:val="003D570A"/>
    <w:rsid w:val="003F14EB"/>
    <w:rsid w:val="00406327"/>
    <w:rsid w:val="0041104C"/>
    <w:rsid w:val="0042135E"/>
    <w:rsid w:val="004341CF"/>
    <w:rsid w:val="00472ABE"/>
    <w:rsid w:val="00487B33"/>
    <w:rsid w:val="004965AF"/>
    <w:rsid w:val="004B3052"/>
    <w:rsid w:val="004D7897"/>
    <w:rsid w:val="005160BD"/>
    <w:rsid w:val="00554298"/>
    <w:rsid w:val="00577038"/>
    <w:rsid w:val="00592A08"/>
    <w:rsid w:val="005E3702"/>
    <w:rsid w:val="0061555D"/>
    <w:rsid w:val="00693C7E"/>
    <w:rsid w:val="00695428"/>
    <w:rsid w:val="0069772B"/>
    <w:rsid w:val="006C3BF5"/>
    <w:rsid w:val="006E4C85"/>
    <w:rsid w:val="006F5DF0"/>
    <w:rsid w:val="007024A5"/>
    <w:rsid w:val="0071123F"/>
    <w:rsid w:val="00775B69"/>
    <w:rsid w:val="007941B9"/>
    <w:rsid w:val="007B4766"/>
    <w:rsid w:val="007C6EA7"/>
    <w:rsid w:val="007D59D1"/>
    <w:rsid w:val="007D7D5B"/>
    <w:rsid w:val="007E025D"/>
    <w:rsid w:val="007E5BC8"/>
    <w:rsid w:val="00836D4D"/>
    <w:rsid w:val="00844B02"/>
    <w:rsid w:val="00852D95"/>
    <w:rsid w:val="00855607"/>
    <w:rsid w:val="00861287"/>
    <w:rsid w:val="00870E5E"/>
    <w:rsid w:val="008E31BF"/>
    <w:rsid w:val="00911BE1"/>
    <w:rsid w:val="009244B3"/>
    <w:rsid w:val="00933273"/>
    <w:rsid w:val="00945749"/>
    <w:rsid w:val="00964FCE"/>
    <w:rsid w:val="00970670"/>
    <w:rsid w:val="00980209"/>
    <w:rsid w:val="009833B2"/>
    <w:rsid w:val="00990B58"/>
    <w:rsid w:val="009B11C9"/>
    <w:rsid w:val="00A12494"/>
    <w:rsid w:val="00A23190"/>
    <w:rsid w:val="00A43DEB"/>
    <w:rsid w:val="00A45A22"/>
    <w:rsid w:val="00A560A4"/>
    <w:rsid w:val="00A62069"/>
    <w:rsid w:val="00A81D53"/>
    <w:rsid w:val="00AB30BB"/>
    <w:rsid w:val="00AC6FC2"/>
    <w:rsid w:val="00AD7A53"/>
    <w:rsid w:val="00AF2DE2"/>
    <w:rsid w:val="00AF31A1"/>
    <w:rsid w:val="00B0011F"/>
    <w:rsid w:val="00B42153"/>
    <w:rsid w:val="00BD0FAF"/>
    <w:rsid w:val="00BD16B5"/>
    <w:rsid w:val="00BD3F30"/>
    <w:rsid w:val="00BF7DBD"/>
    <w:rsid w:val="00C04963"/>
    <w:rsid w:val="00C06C58"/>
    <w:rsid w:val="00C20F3D"/>
    <w:rsid w:val="00C31378"/>
    <w:rsid w:val="00C75B3A"/>
    <w:rsid w:val="00C82359"/>
    <w:rsid w:val="00C866CB"/>
    <w:rsid w:val="00C8791A"/>
    <w:rsid w:val="00CA6AD9"/>
    <w:rsid w:val="00CE789D"/>
    <w:rsid w:val="00D06190"/>
    <w:rsid w:val="00D22D32"/>
    <w:rsid w:val="00D30809"/>
    <w:rsid w:val="00D5057C"/>
    <w:rsid w:val="00D56152"/>
    <w:rsid w:val="00D61DEB"/>
    <w:rsid w:val="00D67347"/>
    <w:rsid w:val="00D85EDF"/>
    <w:rsid w:val="00DD6132"/>
    <w:rsid w:val="00DF3B6B"/>
    <w:rsid w:val="00E35D62"/>
    <w:rsid w:val="00E46AC7"/>
    <w:rsid w:val="00E512CE"/>
    <w:rsid w:val="00E519EA"/>
    <w:rsid w:val="00E63D39"/>
    <w:rsid w:val="00E669D9"/>
    <w:rsid w:val="00E70C0A"/>
    <w:rsid w:val="00E73014"/>
    <w:rsid w:val="00E7790C"/>
    <w:rsid w:val="00EE42E6"/>
    <w:rsid w:val="00F0103A"/>
    <w:rsid w:val="00F20C60"/>
    <w:rsid w:val="00F71F8F"/>
    <w:rsid w:val="00F737E2"/>
    <w:rsid w:val="00FB37BF"/>
    <w:rsid w:val="00FB5A84"/>
    <w:rsid w:val="00FC34CB"/>
    <w:rsid w:val="00FC6EF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AD2DDD-C5FD-4633-BD94-279F723B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4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uffy@tui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cgriffin</cp:lastModifiedBy>
  <cp:revision>2</cp:revision>
  <cp:lastPrinted>2014-03-13T16:34:00Z</cp:lastPrinted>
  <dcterms:created xsi:type="dcterms:W3CDTF">2014-10-07T16:03:00Z</dcterms:created>
  <dcterms:modified xsi:type="dcterms:W3CDTF">2014-10-07T16:03:00Z</dcterms:modified>
</cp:coreProperties>
</file>