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150D1" w14:textId="77777777" w:rsidR="00EC3818" w:rsidRDefault="004D17EF" w:rsidP="004D17EF">
      <w:pPr>
        <w:shd w:val="clear" w:color="auto" w:fill="9CC2E5" w:themeFill="accent1" w:themeFillTint="99"/>
        <w:rPr>
          <w:b/>
          <w:sz w:val="28"/>
          <w:szCs w:val="28"/>
        </w:rPr>
      </w:pPr>
      <w:bookmarkStart w:id="0" w:name="_GoBack"/>
      <w:bookmarkEnd w:id="0"/>
      <w:r>
        <w:rPr>
          <w:b/>
          <w:sz w:val="28"/>
          <w:szCs w:val="28"/>
        </w:rPr>
        <w:t>EVALUATION OF PROVISION FOR STUDENTS WITH ADDITIONAL AND SPECIAL EDUCATIONAL NEEDS IN POST PRIMARY SCHOOLS</w:t>
      </w:r>
    </w:p>
    <w:p w14:paraId="363628F6" w14:textId="77777777" w:rsidR="004D17EF" w:rsidRDefault="004D17EF">
      <w:pPr>
        <w:rPr>
          <w:b/>
          <w:sz w:val="28"/>
          <w:szCs w:val="28"/>
        </w:rPr>
      </w:pPr>
    </w:p>
    <w:p w14:paraId="56CE3756" w14:textId="77777777" w:rsidR="00EC3818" w:rsidRPr="00EC3818" w:rsidRDefault="00EC3818" w:rsidP="004D17EF">
      <w:pPr>
        <w:shd w:val="clear" w:color="auto" w:fill="BDD6EE" w:themeFill="accent1" w:themeFillTint="66"/>
        <w:rPr>
          <w:b/>
          <w:sz w:val="28"/>
          <w:szCs w:val="28"/>
        </w:rPr>
      </w:pPr>
      <w:r w:rsidRPr="00EC3818">
        <w:rPr>
          <w:b/>
          <w:sz w:val="28"/>
          <w:szCs w:val="28"/>
        </w:rPr>
        <w:t>INTRODUCTION</w:t>
      </w:r>
    </w:p>
    <w:p w14:paraId="402DD381" w14:textId="77777777" w:rsidR="004D17EF" w:rsidRDefault="004D17EF" w:rsidP="004D17EF">
      <w:pPr>
        <w:jc w:val="both"/>
        <w:rPr>
          <w:rFonts w:eastAsia="Times New Roman" w:cs="Times New Roman"/>
          <w:lang w:val="en-GB" w:eastAsia="en-GB"/>
        </w:rPr>
      </w:pPr>
      <w:r w:rsidRPr="00513429">
        <w:rPr>
          <w:rFonts w:eastAsia="Times New Roman" w:cs="Times New Roman"/>
          <w:lang w:val="en-GB" w:eastAsia="en-GB"/>
        </w:rPr>
        <w:t xml:space="preserve">The </w:t>
      </w:r>
      <w:r>
        <w:rPr>
          <w:rFonts w:eastAsia="Times New Roman" w:cs="Times New Roman"/>
          <w:lang w:val="en-GB" w:eastAsia="en-GB"/>
        </w:rPr>
        <w:t>Evaluation of Provision for Students with Additional and Special Educational Needs in Post Primary Schools (SEN-PP) is designed to evaluate a school’s provision for:</w:t>
      </w:r>
    </w:p>
    <w:p w14:paraId="3917DFF8" w14:textId="77777777" w:rsidR="004D17EF" w:rsidRPr="00513429" w:rsidRDefault="004D17EF" w:rsidP="004D17EF">
      <w:pPr>
        <w:pStyle w:val="ListParagraph"/>
        <w:numPr>
          <w:ilvl w:val="0"/>
          <w:numId w:val="13"/>
        </w:numPr>
        <w:spacing w:line="256" w:lineRule="auto"/>
        <w:jc w:val="both"/>
        <w:rPr>
          <w:rFonts w:cs="Times New Roman"/>
        </w:rPr>
      </w:pPr>
      <w:r>
        <w:rPr>
          <w:rFonts w:cs="Times New Roman"/>
        </w:rPr>
        <w:t>students on stage one of the Continuum of Support who receive support within m</w:t>
      </w:r>
      <w:r w:rsidRPr="00513429">
        <w:rPr>
          <w:rFonts w:cs="Times New Roman"/>
        </w:rPr>
        <w:t xml:space="preserve">ainstream classes </w:t>
      </w:r>
    </w:p>
    <w:p w14:paraId="63F7FA58" w14:textId="77777777" w:rsidR="004D17EF" w:rsidRPr="00513429" w:rsidRDefault="004D17EF" w:rsidP="004D17EF">
      <w:pPr>
        <w:pStyle w:val="ListParagraph"/>
        <w:numPr>
          <w:ilvl w:val="0"/>
          <w:numId w:val="13"/>
        </w:numPr>
        <w:spacing w:line="256" w:lineRule="auto"/>
        <w:jc w:val="both"/>
        <w:rPr>
          <w:rFonts w:cs="Times New Roman"/>
        </w:rPr>
      </w:pPr>
      <w:r>
        <w:rPr>
          <w:rFonts w:cs="Times New Roman"/>
        </w:rPr>
        <w:t xml:space="preserve">students on stage two or stage three of the Continuum of Support who receive support within the mainstream classes and/or in support settings </w:t>
      </w:r>
    </w:p>
    <w:p w14:paraId="3B4BE639" w14:textId="77777777" w:rsidR="004D17EF" w:rsidRPr="004D17EF" w:rsidRDefault="004D17EF" w:rsidP="004D17EF">
      <w:pPr>
        <w:pStyle w:val="ListParagraph"/>
        <w:numPr>
          <w:ilvl w:val="0"/>
          <w:numId w:val="13"/>
        </w:numPr>
        <w:spacing w:line="256" w:lineRule="auto"/>
        <w:jc w:val="both"/>
        <w:rPr>
          <w:rFonts w:cs="Times New Roman"/>
        </w:rPr>
      </w:pPr>
      <w:r>
        <w:rPr>
          <w:rFonts w:cs="Times New Roman"/>
        </w:rPr>
        <w:t>students in special classes</w:t>
      </w:r>
    </w:p>
    <w:p w14:paraId="69CBF3E4" w14:textId="0DADB95B" w:rsidR="004D17EF" w:rsidRPr="00513429" w:rsidRDefault="004D17EF" w:rsidP="004D17EF">
      <w:pPr>
        <w:jc w:val="both"/>
        <w:rPr>
          <w:rFonts w:cs="Times New Roman"/>
        </w:rPr>
      </w:pPr>
      <w:r>
        <w:rPr>
          <w:rFonts w:eastAsia="Times New Roman" w:cs="Times New Roman"/>
          <w:lang w:val="en-GB" w:eastAsia="en-GB"/>
        </w:rPr>
        <w:t xml:space="preserve">It was developed to ensure consistency and coherence between the evaluation of provision for students with </w:t>
      </w:r>
      <w:r>
        <w:rPr>
          <w:rFonts w:cs="Times New Roman"/>
        </w:rPr>
        <w:t xml:space="preserve">additional and </w:t>
      </w:r>
      <w:r>
        <w:rPr>
          <w:rFonts w:eastAsia="Times New Roman" w:cs="Times New Roman"/>
          <w:lang w:val="en-GB" w:eastAsia="en-GB"/>
        </w:rPr>
        <w:t>special educational needs and the</w:t>
      </w:r>
      <w:r w:rsidR="00CE43AD">
        <w:rPr>
          <w:rFonts w:eastAsia="Times New Roman" w:cs="Times New Roman"/>
          <w:lang w:val="en-GB" w:eastAsia="en-GB"/>
        </w:rPr>
        <w:t xml:space="preserve"> special education teaching </w:t>
      </w:r>
      <w:r>
        <w:rPr>
          <w:rFonts w:eastAsia="Times New Roman" w:cs="Times New Roman"/>
          <w:lang w:val="en-GB" w:eastAsia="en-GB"/>
        </w:rPr>
        <w:t xml:space="preserve">allocation model for schools which was introduced in September 2017. In this context, particular attention is paid to the school’s use of </w:t>
      </w:r>
      <w:r w:rsidRPr="00513429">
        <w:t xml:space="preserve">the </w:t>
      </w:r>
      <w:r w:rsidRPr="00513429">
        <w:rPr>
          <w:i/>
        </w:rPr>
        <w:t>Continuum of Support</w:t>
      </w:r>
      <w:r>
        <w:rPr>
          <w:i/>
        </w:rPr>
        <w:t xml:space="preserve"> </w:t>
      </w:r>
      <w:r w:rsidRPr="004D17EF">
        <w:t>and its adherence to the principles and actions outlined in</w:t>
      </w:r>
      <w:r>
        <w:t xml:space="preserve"> </w:t>
      </w:r>
      <w:r w:rsidRPr="00F776EA">
        <w:rPr>
          <w:i/>
        </w:rPr>
        <w:t>Guidelines for Schools: Supporting Students with Special Educational Needs in Post-Primary Schools</w:t>
      </w:r>
      <w:r>
        <w:t xml:space="preserve"> (September 2017)</w:t>
      </w:r>
      <w:r>
        <w:rPr>
          <w:i/>
        </w:rPr>
        <w:t>.</w:t>
      </w:r>
      <w:r w:rsidRPr="004D17EF">
        <w:rPr>
          <w:rFonts w:eastAsia="Times New Roman" w:cs="Times New Roman"/>
          <w:lang w:val="en-GB" w:eastAsia="en-GB"/>
        </w:rPr>
        <w:t xml:space="preserve"> </w:t>
      </w:r>
      <w:r>
        <w:rPr>
          <w:rFonts w:eastAsia="Times New Roman" w:cs="Times New Roman"/>
          <w:lang w:val="en-GB" w:eastAsia="en-GB"/>
        </w:rPr>
        <w:t xml:space="preserve"> The model also reflects the publication of </w:t>
      </w:r>
      <w:r w:rsidRPr="008C708B">
        <w:rPr>
          <w:rFonts w:eastAsia="Times New Roman" w:cs="Times New Roman"/>
          <w:i/>
          <w:lang w:val="en-GB" w:eastAsia="en-GB"/>
        </w:rPr>
        <w:t>Looking at Our School 2016</w:t>
      </w:r>
      <w:r>
        <w:rPr>
          <w:rFonts w:eastAsia="Times New Roman" w:cs="Times New Roman"/>
          <w:i/>
          <w:lang w:val="en-GB" w:eastAsia="en-GB"/>
        </w:rPr>
        <w:t>:</w:t>
      </w:r>
      <w:r w:rsidRPr="008C708B">
        <w:rPr>
          <w:rFonts w:eastAsia="Times New Roman" w:cs="Times New Roman"/>
          <w:i/>
          <w:lang w:val="en-GB" w:eastAsia="en-GB"/>
        </w:rPr>
        <w:t xml:space="preserve"> A Quality Framework for Post Primary Schools</w:t>
      </w:r>
      <w:r>
        <w:rPr>
          <w:rFonts w:eastAsia="Times New Roman" w:cs="Times New Roman"/>
          <w:lang w:val="en-GB" w:eastAsia="en-GB"/>
        </w:rPr>
        <w:t xml:space="preserve">, which was published by the Department in September 2016. </w:t>
      </w:r>
    </w:p>
    <w:p w14:paraId="50587434" w14:textId="77777777" w:rsidR="004D17EF" w:rsidRDefault="004D17EF" w:rsidP="004D17EF">
      <w:pPr>
        <w:pStyle w:val="NormalWeb"/>
        <w:spacing w:line="276" w:lineRule="auto"/>
        <w:jc w:val="both"/>
        <w:rPr>
          <w:rFonts w:asciiTheme="minorHAnsi" w:eastAsiaTheme="minorHAnsi" w:hAnsiTheme="minorHAnsi"/>
          <w:sz w:val="22"/>
          <w:szCs w:val="22"/>
          <w:lang w:eastAsia="en-US"/>
        </w:rPr>
      </w:pPr>
    </w:p>
    <w:p w14:paraId="6C6ECAD3" w14:textId="77777777" w:rsidR="00EC3818" w:rsidRPr="00EC3818" w:rsidRDefault="00EC3818" w:rsidP="004D17EF">
      <w:pPr>
        <w:shd w:val="clear" w:color="auto" w:fill="BDD6EE" w:themeFill="accent1" w:themeFillTint="66"/>
        <w:rPr>
          <w:b/>
          <w:sz w:val="28"/>
          <w:szCs w:val="28"/>
        </w:rPr>
      </w:pPr>
      <w:r w:rsidRPr="00EC3818">
        <w:rPr>
          <w:b/>
          <w:sz w:val="28"/>
          <w:szCs w:val="28"/>
        </w:rPr>
        <w:t>EVALUATION FOCUS</w:t>
      </w:r>
    </w:p>
    <w:p w14:paraId="7167FBFB" w14:textId="77777777" w:rsidR="00B4562F" w:rsidRPr="00513429" w:rsidRDefault="00B4562F" w:rsidP="00B4562F">
      <w:pPr>
        <w:jc w:val="both"/>
        <w:rPr>
          <w:rFonts w:cs="Times New Roman"/>
        </w:rPr>
      </w:pPr>
      <w:r w:rsidRPr="00513429">
        <w:rPr>
          <w:rFonts w:cs="Times New Roman"/>
        </w:rPr>
        <w:t>The</w:t>
      </w:r>
      <w:r>
        <w:rPr>
          <w:rFonts w:cs="Times New Roman"/>
        </w:rPr>
        <w:t xml:space="preserve"> SEN – PP model address</w:t>
      </w:r>
      <w:r w:rsidR="00D0418C">
        <w:rPr>
          <w:rFonts w:cs="Times New Roman"/>
        </w:rPr>
        <w:t>es</w:t>
      </w:r>
      <w:r>
        <w:rPr>
          <w:rFonts w:cs="Times New Roman"/>
        </w:rPr>
        <w:t xml:space="preserve"> the following</w:t>
      </w:r>
      <w:r w:rsidRPr="00513429">
        <w:rPr>
          <w:rFonts w:cs="Times New Roman"/>
        </w:rPr>
        <w:t xml:space="preserve"> questions relating to the quality of a school’s provision</w:t>
      </w:r>
      <w:r w:rsidRPr="00513429">
        <w:rPr>
          <w:rFonts w:cs="Arial"/>
        </w:rPr>
        <w:t xml:space="preserve"> </w:t>
      </w:r>
      <w:r w:rsidRPr="00513429">
        <w:rPr>
          <w:rFonts w:cs="Times New Roman"/>
        </w:rPr>
        <w:t xml:space="preserve">for students with </w:t>
      </w:r>
      <w:r>
        <w:rPr>
          <w:rFonts w:cs="Times New Roman"/>
        </w:rPr>
        <w:t xml:space="preserve">additional and </w:t>
      </w:r>
      <w:r w:rsidRPr="00513429">
        <w:rPr>
          <w:rFonts w:cs="Times New Roman"/>
        </w:rPr>
        <w:t xml:space="preserve">special educational needs: </w:t>
      </w:r>
    </w:p>
    <w:p w14:paraId="3D3ACBC9" w14:textId="77777777" w:rsidR="00B4562F" w:rsidRPr="00DD6E4A" w:rsidRDefault="00B4562F" w:rsidP="00B4562F">
      <w:pPr>
        <w:pStyle w:val="ListParagraph"/>
        <w:numPr>
          <w:ilvl w:val="0"/>
          <w:numId w:val="15"/>
        </w:numPr>
        <w:jc w:val="both"/>
        <w:rPr>
          <w:rFonts w:cs="Times New Roman"/>
        </w:rPr>
      </w:pPr>
      <w:r w:rsidRPr="00DD6E4A">
        <w:rPr>
          <w:rFonts w:cs="Times New Roman"/>
        </w:rPr>
        <w:t xml:space="preserve">a. How good are the learning outcomes for students with </w:t>
      </w:r>
      <w:r>
        <w:rPr>
          <w:rFonts w:cs="Times New Roman"/>
        </w:rPr>
        <w:t xml:space="preserve">additional and </w:t>
      </w:r>
      <w:r w:rsidRPr="00DD6E4A">
        <w:rPr>
          <w:rFonts w:cs="Times New Roman"/>
        </w:rPr>
        <w:t>special educational needs?</w:t>
      </w:r>
    </w:p>
    <w:p w14:paraId="13A8C4C0" w14:textId="77777777" w:rsidR="00B4562F" w:rsidRPr="00DD6E4A" w:rsidRDefault="00B4562F" w:rsidP="00B4562F">
      <w:pPr>
        <w:ind w:left="1080"/>
        <w:jc w:val="both"/>
        <w:rPr>
          <w:rFonts w:cs="Times New Roman"/>
        </w:rPr>
      </w:pPr>
      <w:r>
        <w:rPr>
          <w:rFonts w:cs="Times New Roman"/>
        </w:rPr>
        <w:t>b. How good are the learning experiences of students with additional and special educational needs?</w:t>
      </w:r>
    </w:p>
    <w:p w14:paraId="4C90AE59" w14:textId="77777777" w:rsidR="00B4562F" w:rsidRDefault="00B4562F" w:rsidP="00B4562F">
      <w:pPr>
        <w:ind w:left="720"/>
        <w:jc w:val="both"/>
        <w:rPr>
          <w:rFonts w:cs="Times New Roman"/>
        </w:rPr>
      </w:pPr>
      <w:r w:rsidRPr="00513429">
        <w:rPr>
          <w:rFonts w:cs="Times New Roman"/>
        </w:rPr>
        <w:t xml:space="preserve">2. How well is the school using the resources it receives for students with </w:t>
      </w:r>
      <w:r>
        <w:rPr>
          <w:rFonts w:cs="Times New Roman"/>
        </w:rPr>
        <w:t xml:space="preserve">additional and </w:t>
      </w:r>
      <w:r w:rsidRPr="00513429">
        <w:rPr>
          <w:rFonts w:cs="Times New Roman"/>
        </w:rPr>
        <w:t xml:space="preserve">special educational needs to improve </w:t>
      </w:r>
      <w:r>
        <w:rPr>
          <w:rFonts w:cs="Times New Roman"/>
        </w:rPr>
        <w:t xml:space="preserve">learning experiences and learning </w:t>
      </w:r>
      <w:r w:rsidRPr="00513429">
        <w:rPr>
          <w:rFonts w:cs="Times New Roman"/>
        </w:rPr>
        <w:t>outcomes?</w:t>
      </w:r>
    </w:p>
    <w:p w14:paraId="657D79CD" w14:textId="77777777" w:rsidR="00B4562F" w:rsidRPr="00513429" w:rsidRDefault="00B4562F" w:rsidP="00B4562F">
      <w:pPr>
        <w:ind w:left="720"/>
        <w:jc w:val="both"/>
        <w:rPr>
          <w:rFonts w:cs="Times New Roman"/>
        </w:rPr>
      </w:pPr>
      <w:r>
        <w:rPr>
          <w:rFonts w:cs="Times New Roman"/>
        </w:rPr>
        <w:t xml:space="preserve">3. How effective are the structures and systems that the school has in place in fostering the inclusion, equality of opportunity and holistic development of students with additional and special educational needs? </w:t>
      </w:r>
    </w:p>
    <w:p w14:paraId="19B695C7" w14:textId="77777777" w:rsidR="00B4562F" w:rsidRPr="00513429" w:rsidRDefault="00B4562F" w:rsidP="00B4562F">
      <w:pPr>
        <w:jc w:val="both"/>
        <w:rPr>
          <w:rFonts w:cs="Times New Roman"/>
        </w:rPr>
      </w:pPr>
      <w:r w:rsidRPr="00513429">
        <w:rPr>
          <w:rFonts w:cs="Times New Roman"/>
        </w:rPr>
        <w:t>In addressing these questions, inspectors use two main sources of evidence:</w:t>
      </w:r>
    </w:p>
    <w:p w14:paraId="0C9CA0C7" w14:textId="77777777" w:rsidR="00B4562F" w:rsidRPr="00513429" w:rsidRDefault="00B4562F" w:rsidP="00B4562F">
      <w:pPr>
        <w:pStyle w:val="ListParagraph"/>
        <w:numPr>
          <w:ilvl w:val="0"/>
          <w:numId w:val="14"/>
        </w:numPr>
        <w:ind w:left="993"/>
        <w:jc w:val="both"/>
        <w:rPr>
          <w:rFonts w:cs="Times New Roman"/>
        </w:rPr>
      </w:pPr>
      <w:r w:rsidRPr="00513429">
        <w:rPr>
          <w:rFonts w:cs="Times New Roman"/>
        </w:rPr>
        <w:t xml:space="preserve">The school’s </w:t>
      </w:r>
      <w:r w:rsidRPr="00513429">
        <w:rPr>
          <w:rFonts w:cs="Times New Roman"/>
          <w:b/>
          <w:i/>
        </w:rPr>
        <w:t>own reporting</w:t>
      </w:r>
      <w:r w:rsidRPr="00513429">
        <w:rPr>
          <w:rFonts w:cs="Times New Roman"/>
        </w:rPr>
        <w:t xml:space="preserve"> of</w:t>
      </w:r>
      <w:r>
        <w:rPr>
          <w:rFonts w:cs="Times New Roman"/>
        </w:rPr>
        <w:t xml:space="preserve">  learning experiences and learning </w:t>
      </w:r>
      <w:r w:rsidRPr="00513429">
        <w:rPr>
          <w:rFonts w:cs="Times New Roman"/>
        </w:rPr>
        <w:t>outcomes</w:t>
      </w:r>
      <w:r>
        <w:rPr>
          <w:rFonts w:cs="Times New Roman"/>
        </w:rPr>
        <w:t>,</w:t>
      </w:r>
      <w:r w:rsidRPr="00513429">
        <w:rPr>
          <w:rFonts w:cs="Times New Roman"/>
        </w:rPr>
        <w:t xml:space="preserve"> its use of resources</w:t>
      </w:r>
      <w:r>
        <w:rPr>
          <w:rFonts w:cs="Times New Roman"/>
        </w:rPr>
        <w:t xml:space="preserve"> and the structures and systems it has in place to facilitate inclusion, equality of opportunity and the holistic development of students with additional and special educational needs</w:t>
      </w:r>
      <w:r w:rsidRPr="00513429">
        <w:rPr>
          <w:rFonts w:cs="Times New Roman"/>
        </w:rPr>
        <w:t xml:space="preserve"> </w:t>
      </w:r>
    </w:p>
    <w:p w14:paraId="6FD0AF95" w14:textId="77777777" w:rsidR="00B4562F" w:rsidRPr="00513429" w:rsidRDefault="00B4562F" w:rsidP="00B4562F">
      <w:pPr>
        <w:pStyle w:val="ListParagraph"/>
        <w:numPr>
          <w:ilvl w:val="0"/>
          <w:numId w:val="14"/>
        </w:numPr>
        <w:ind w:left="993"/>
        <w:jc w:val="both"/>
        <w:rPr>
          <w:rFonts w:cs="Times New Roman"/>
        </w:rPr>
      </w:pPr>
      <w:r w:rsidRPr="00513429">
        <w:rPr>
          <w:rFonts w:cs="Times New Roman"/>
          <w:b/>
          <w:i/>
        </w:rPr>
        <w:lastRenderedPageBreak/>
        <w:t>Inspectors’ evaluation</w:t>
      </w:r>
      <w:r w:rsidRPr="00513429">
        <w:rPr>
          <w:rFonts w:cs="Times New Roman"/>
        </w:rPr>
        <w:t xml:space="preserve"> of </w:t>
      </w:r>
      <w:r>
        <w:rPr>
          <w:rFonts w:cs="Times New Roman"/>
        </w:rPr>
        <w:t xml:space="preserve">learning experiences and learning </w:t>
      </w:r>
      <w:r w:rsidRPr="00513429">
        <w:rPr>
          <w:rFonts w:cs="Times New Roman"/>
        </w:rPr>
        <w:t>outcomes</w:t>
      </w:r>
      <w:r>
        <w:rPr>
          <w:rFonts w:cs="Times New Roman"/>
        </w:rPr>
        <w:t>,</w:t>
      </w:r>
      <w:r w:rsidRPr="00513429">
        <w:rPr>
          <w:rFonts w:cs="Times New Roman"/>
        </w:rPr>
        <w:t xml:space="preserve"> its use of resources</w:t>
      </w:r>
      <w:r>
        <w:rPr>
          <w:rFonts w:cs="Times New Roman"/>
        </w:rPr>
        <w:t xml:space="preserve"> and the structures and systems it has in place to facilitate inclusion, equality of opportunity and the holistic development of students with additional and special educational needs. </w:t>
      </w:r>
    </w:p>
    <w:p w14:paraId="33ECD74C" w14:textId="77777777" w:rsidR="00EC3818" w:rsidRDefault="00EC3818"/>
    <w:p w14:paraId="200C554E" w14:textId="77777777" w:rsidR="00B4562F" w:rsidRPr="00B4562F" w:rsidRDefault="00AD26B8" w:rsidP="00B4562F">
      <w:pPr>
        <w:shd w:val="clear" w:color="auto" w:fill="BDD6EE" w:themeFill="accent1" w:themeFillTint="66"/>
        <w:rPr>
          <w:b/>
          <w:sz w:val="28"/>
          <w:szCs w:val="28"/>
        </w:rPr>
      </w:pPr>
      <w:r w:rsidRPr="00AD26B8">
        <w:rPr>
          <w:b/>
          <w:sz w:val="28"/>
          <w:szCs w:val="28"/>
        </w:rPr>
        <w:t>FEATURES OF THE EVALUATION</w:t>
      </w:r>
    </w:p>
    <w:p w14:paraId="14314AE2" w14:textId="77777777" w:rsidR="00B4562F" w:rsidRDefault="00B4562F" w:rsidP="00B4562F">
      <w:pPr>
        <w:jc w:val="both"/>
        <w:rPr>
          <w:rFonts w:cs="Times New Roman"/>
        </w:rPr>
      </w:pPr>
      <w:r w:rsidRPr="00513429">
        <w:rPr>
          <w:rFonts w:cs="Times New Roman"/>
        </w:rPr>
        <w:t xml:space="preserve">Schools receive ten </w:t>
      </w:r>
      <w:r>
        <w:rPr>
          <w:rFonts w:cs="Times New Roman"/>
        </w:rPr>
        <w:t xml:space="preserve">school </w:t>
      </w:r>
      <w:r w:rsidRPr="00513429">
        <w:rPr>
          <w:rFonts w:cs="Times New Roman"/>
        </w:rPr>
        <w:t>days’ notice of the evaluation by phone call from the inspector</w:t>
      </w:r>
      <w:r w:rsidR="00D0418C">
        <w:rPr>
          <w:rFonts w:cs="Times New Roman"/>
        </w:rPr>
        <w:t xml:space="preserve">, which is followed up by </w:t>
      </w:r>
      <w:r>
        <w:rPr>
          <w:rFonts w:cs="Times New Roman"/>
        </w:rPr>
        <w:t xml:space="preserve">an </w:t>
      </w:r>
      <w:r w:rsidRPr="00513429">
        <w:rPr>
          <w:rFonts w:cs="Times New Roman"/>
        </w:rPr>
        <w:t>e-mail</w:t>
      </w:r>
      <w:r>
        <w:rPr>
          <w:rFonts w:cs="Times New Roman"/>
        </w:rPr>
        <w:t xml:space="preserve"> to the school.</w:t>
      </w:r>
      <w:r w:rsidRPr="00513429">
        <w:rPr>
          <w:rFonts w:cs="Times New Roman"/>
        </w:rPr>
        <w:t xml:space="preserve"> An information note describing the evaluation process </w:t>
      </w:r>
      <w:r w:rsidR="00D0418C">
        <w:rPr>
          <w:rFonts w:cs="Times New Roman"/>
        </w:rPr>
        <w:t xml:space="preserve">is </w:t>
      </w:r>
      <w:r w:rsidRPr="00513429">
        <w:rPr>
          <w:rFonts w:cs="Times New Roman"/>
        </w:rPr>
        <w:t xml:space="preserve">included in the emailed notice. </w:t>
      </w:r>
    </w:p>
    <w:p w14:paraId="421286C2" w14:textId="440ED381" w:rsidR="00B4562F" w:rsidRPr="00513429" w:rsidRDefault="00B4562F" w:rsidP="00B4562F">
      <w:pPr>
        <w:spacing w:line="240" w:lineRule="auto"/>
        <w:jc w:val="both"/>
        <w:rPr>
          <w:rFonts w:cs="Times New Roman"/>
        </w:rPr>
      </w:pPr>
      <w:r w:rsidRPr="00513429">
        <w:rPr>
          <w:rFonts w:cs="Times New Roman"/>
        </w:rPr>
        <w:t xml:space="preserve">The evaluation </w:t>
      </w:r>
      <w:r>
        <w:rPr>
          <w:rFonts w:cs="Times New Roman"/>
        </w:rPr>
        <w:t>typically involves</w:t>
      </w:r>
      <w:r w:rsidRPr="00513429">
        <w:rPr>
          <w:rFonts w:cs="Times New Roman"/>
        </w:rPr>
        <w:t xml:space="preserve"> </w:t>
      </w:r>
      <w:r>
        <w:rPr>
          <w:rFonts w:cs="Times New Roman"/>
        </w:rPr>
        <w:t>up to three days in a school and a</w:t>
      </w:r>
      <w:r w:rsidRPr="00513429">
        <w:rPr>
          <w:rFonts w:cs="Times New Roman"/>
        </w:rPr>
        <w:t xml:space="preserve">ll meetings, lesson observations and feedback, at which the draft preliminary findings and recommendations of the inspection </w:t>
      </w:r>
      <w:r w:rsidR="00D0418C">
        <w:rPr>
          <w:rFonts w:cs="Times New Roman"/>
        </w:rPr>
        <w:t xml:space="preserve">are </w:t>
      </w:r>
      <w:r w:rsidRPr="00513429">
        <w:rPr>
          <w:rFonts w:cs="Times New Roman"/>
        </w:rPr>
        <w:t xml:space="preserve">presented and discussed, </w:t>
      </w:r>
      <w:r w:rsidR="00D0418C">
        <w:rPr>
          <w:rFonts w:cs="Times New Roman"/>
        </w:rPr>
        <w:t xml:space="preserve">are </w:t>
      </w:r>
      <w:r w:rsidRPr="00513429">
        <w:rPr>
          <w:rFonts w:cs="Times New Roman"/>
        </w:rPr>
        <w:t>completed within</w:t>
      </w:r>
      <w:r>
        <w:rPr>
          <w:rFonts w:cs="Times New Roman"/>
        </w:rPr>
        <w:t xml:space="preserve"> these days</w:t>
      </w:r>
      <w:r w:rsidRPr="00513429">
        <w:rPr>
          <w:rFonts w:cs="Times New Roman"/>
        </w:rPr>
        <w:t xml:space="preserve">. The evaluation is generally conducted by </w:t>
      </w:r>
      <w:r>
        <w:rPr>
          <w:rFonts w:cs="Times New Roman"/>
        </w:rPr>
        <w:t xml:space="preserve">one </w:t>
      </w:r>
      <w:r w:rsidRPr="00513429">
        <w:rPr>
          <w:rFonts w:cs="Times New Roman"/>
        </w:rPr>
        <w:t>insp</w:t>
      </w:r>
      <w:r>
        <w:rPr>
          <w:rFonts w:cs="Times New Roman"/>
        </w:rPr>
        <w:t>ector</w:t>
      </w:r>
      <w:r w:rsidRPr="00513429">
        <w:rPr>
          <w:rFonts w:cs="Times New Roman"/>
        </w:rPr>
        <w:t>.</w:t>
      </w:r>
    </w:p>
    <w:p w14:paraId="3B7B7416" w14:textId="58F472CD" w:rsidR="00AD26B8" w:rsidRPr="00960C0E" w:rsidRDefault="00B4562F" w:rsidP="00960C0E">
      <w:pPr>
        <w:rPr>
          <w:rFonts w:eastAsia="Times New Roman" w:cs="Times New Roman"/>
          <w:lang w:val="en-GB" w:eastAsia="en-GB"/>
        </w:rPr>
      </w:pPr>
      <w:r>
        <w:rPr>
          <w:rFonts w:eastAsia="Times New Roman" w:cs="Times New Roman"/>
          <w:lang w:val="en-GB" w:eastAsia="en-GB"/>
        </w:rPr>
        <w:t>Prior to the in-school inspection, t</w:t>
      </w:r>
      <w:r w:rsidRPr="00513429">
        <w:rPr>
          <w:rFonts w:eastAsia="Times New Roman" w:cs="Times New Roman"/>
          <w:lang w:val="en-GB" w:eastAsia="en-GB"/>
        </w:rPr>
        <w:t xml:space="preserve">he school principal is requested to complete a </w:t>
      </w:r>
      <w:r>
        <w:rPr>
          <w:rFonts w:eastAsia="Times New Roman" w:cs="Times New Roman"/>
          <w:lang w:val="en-GB" w:eastAsia="en-GB"/>
        </w:rPr>
        <w:t xml:space="preserve">standard </w:t>
      </w:r>
      <w:r w:rsidRPr="00513429">
        <w:rPr>
          <w:rFonts w:eastAsia="Times New Roman" w:cs="Times New Roman"/>
          <w:lang w:val="en-GB" w:eastAsia="en-GB"/>
        </w:rPr>
        <w:t>school information form in electronic format</w:t>
      </w:r>
      <w:r>
        <w:rPr>
          <w:rFonts w:eastAsia="Times New Roman" w:cs="Times New Roman"/>
          <w:lang w:val="en-GB" w:eastAsia="en-GB"/>
        </w:rPr>
        <w:t xml:space="preserve"> or to provide the form that is available o</w:t>
      </w:r>
      <w:r w:rsidR="00CE43AD">
        <w:rPr>
          <w:rFonts w:eastAsia="Times New Roman" w:cs="Times New Roman"/>
          <w:lang w:val="en-GB" w:eastAsia="en-GB"/>
        </w:rPr>
        <w:t xml:space="preserve">n </w:t>
      </w:r>
      <w:r>
        <w:rPr>
          <w:rFonts w:eastAsia="Times New Roman" w:cs="Times New Roman"/>
          <w:lang w:val="en-GB" w:eastAsia="en-GB"/>
        </w:rPr>
        <w:t>the website of the Department and has already been completed</w:t>
      </w:r>
      <w:r w:rsidRPr="00513429">
        <w:rPr>
          <w:rFonts w:eastAsia="Times New Roman" w:cs="Times New Roman"/>
          <w:lang w:val="en-GB" w:eastAsia="en-GB"/>
        </w:rPr>
        <w:t>. The completed form is returned to the reporting inspector (preferably by e</w:t>
      </w:r>
      <w:r>
        <w:rPr>
          <w:rFonts w:eastAsia="Times New Roman" w:cs="Times New Roman"/>
          <w:lang w:val="en-GB" w:eastAsia="en-GB"/>
        </w:rPr>
        <w:t xml:space="preserve">-mail) within five working days of the receipt of the notification. </w:t>
      </w:r>
      <w:r w:rsidR="00960C0E">
        <w:rPr>
          <w:rFonts w:eastAsia="Times New Roman" w:cs="Times New Roman"/>
          <w:lang w:val="en-GB" w:eastAsia="en-GB"/>
        </w:rPr>
        <w:t>Prior to the inspection visit, t</w:t>
      </w:r>
      <w:r>
        <w:rPr>
          <w:rFonts w:eastAsia="Times New Roman" w:cs="Times New Roman"/>
          <w:lang w:val="en-GB" w:eastAsia="en-GB"/>
        </w:rPr>
        <w:t xml:space="preserve">he principal is requested to provide the inspector with the school’s provision plan containing </w:t>
      </w:r>
      <w:r w:rsidRPr="00651FFB">
        <w:rPr>
          <w:rFonts w:eastAsia="Times New Roman" w:cs="Times New Roman"/>
          <w:lang w:val="en-GB" w:eastAsia="en-GB"/>
        </w:rPr>
        <w:t xml:space="preserve">a list of all students in </w:t>
      </w:r>
      <w:r>
        <w:rPr>
          <w:rFonts w:eastAsia="Times New Roman" w:cs="Times New Roman"/>
          <w:lang w:val="en-GB" w:eastAsia="en-GB"/>
        </w:rPr>
        <w:t xml:space="preserve">the </w:t>
      </w:r>
      <w:r w:rsidRPr="00651FFB">
        <w:rPr>
          <w:rFonts w:eastAsia="Times New Roman" w:cs="Times New Roman"/>
          <w:lang w:val="en-GB" w:eastAsia="en-GB"/>
        </w:rPr>
        <w:t>school who are in receipt of additional teaching support and the year and class in which they are in</w:t>
      </w:r>
      <w:r w:rsidR="00960C0E">
        <w:rPr>
          <w:rFonts w:eastAsia="Times New Roman" w:cs="Times New Roman"/>
          <w:lang w:val="en-GB" w:eastAsia="en-GB"/>
        </w:rPr>
        <w:t>. He/she will also be asked to confirm that the inspector has access to complete and accurate timetable information.</w:t>
      </w:r>
    </w:p>
    <w:p w14:paraId="0A215167" w14:textId="77777777" w:rsidR="00AD26B8" w:rsidRPr="00E67BA0" w:rsidRDefault="00AD26B8" w:rsidP="00B4562F">
      <w:pPr>
        <w:shd w:val="clear" w:color="auto" w:fill="BDD6EE" w:themeFill="accent1" w:themeFillTint="66"/>
        <w:rPr>
          <w:b/>
          <w:sz w:val="28"/>
          <w:szCs w:val="28"/>
        </w:rPr>
      </w:pPr>
      <w:r w:rsidRPr="00E67BA0">
        <w:rPr>
          <w:b/>
          <w:sz w:val="28"/>
          <w:szCs w:val="28"/>
        </w:rPr>
        <w:t>OVERVIE</w:t>
      </w:r>
      <w:r w:rsidR="00B4562F">
        <w:rPr>
          <w:b/>
          <w:sz w:val="28"/>
          <w:szCs w:val="28"/>
        </w:rPr>
        <w:t>W OF INSPECTION ACTIVITIES</w:t>
      </w:r>
    </w:p>
    <w:tbl>
      <w:tblPr>
        <w:tblStyle w:val="TableGrid"/>
        <w:tblW w:w="9072" w:type="dxa"/>
        <w:tblInd w:w="-15" w:type="dxa"/>
        <w:tblLayout w:type="fixed"/>
        <w:tblLook w:val="04A0" w:firstRow="1" w:lastRow="0" w:firstColumn="1" w:lastColumn="0" w:noHBand="0" w:noVBand="1"/>
      </w:tblPr>
      <w:tblGrid>
        <w:gridCol w:w="1134"/>
        <w:gridCol w:w="1276"/>
        <w:gridCol w:w="6662"/>
      </w:tblGrid>
      <w:tr w:rsidR="00B4562F" w:rsidRPr="00461E59" w14:paraId="75F994F6" w14:textId="77777777" w:rsidTr="006C5991">
        <w:trPr>
          <w:cantSplit/>
          <w:trHeight w:val="1124"/>
        </w:trPr>
        <w:tc>
          <w:tcPr>
            <w:tcW w:w="1134" w:type="dxa"/>
            <w:vMerge w:val="restart"/>
            <w:tcBorders>
              <w:top w:val="single" w:sz="12" w:space="0" w:color="auto"/>
              <w:left w:val="single" w:sz="12" w:space="0" w:color="auto"/>
            </w:tcBorders>
            <w:shd w:val="clear" w:color="auto" w:fill="8496B0" w:themeFill="text2" w:themeFillTint="99"/>
            <w:textDirection w:val="btLr"/>
            <w:vAlign w:val="center"/>
          </w:tcPr>
          <w:p w14:paraId="3B3C94FD" w14:textId="77777777" w:rsidR="00B4562F" w:rsidRPr="00461E59" w:rsidRDefault="00B4562F" w:rsidP="00BE7108">
            <w:pPr>
              <w:spacing w:after="108"/>
              <w:ind w:left="113"/>
              <w:jc w:val="center"/>
              <w:rPr>
                <w:rFonts w:eastAsia="Times New Roman" w:cs="Arial"/>
                <w:b/>
                <w:color w:val="FFFFFF" w:themeColor="background1"/>
                <w:sz w:val="20"/>
                <w:szCs w:val="20"/>
                <w:lang w:eastAsia="en-IE"/>
              </w:rPr>
            </w:pPr>
            <w:r w:rsidRPr="00461E59">
              <w:rPr>
                <w:rFonts w:eastAsia="Times New Roman" w:cs="Arial"/>
                <w:b/>
                <w:color w:val="FFFFFF" w:themeColor="background1"/>
                <w:sz w:val="20"/>
                <w:szCs w:val="20"/>
                <w:lang w:eastAsia="en-IE"/>
              </w:rPr>
              <w:t>Before the inspection visit</w:t>
            </w:r>
          </w:p>
        </w:tc>
        <w:tc>
          <w:tcPr>
            <w:tcW w:w="1276" w:type="dxa"/>
            <w:tcBorders>
              <w:top w:val="single" w:sz="12" w:space="0" w:color="auto"/>
            </w:tcBorders>
            <w:shd w:val="clear" w:color="auto" w:fill="9CC2E5" w:themeFill="accent1" w:themeFillTint="99"/>
            <w:vAlign w:val="center"/>
          </w:tcPr>
          <w:p w14:paraId="1E2C8D12" w14:textId="77777777" w:rsidR="00B4562F" w:rsidRPr="00461E59" w:rsidRDefault="00B4562F" w:rsidP="00BE7108">
            <w:pPr>
              <w:jc w:val="center"/>
              <w:rPr>
                <w:sz w:val="20"/>
                <w:szCs w:val="20"/>
              </w:rPr>
            </w:pPr>
            <w:r w:rsidRPr="00461E59">
              <w:rPr>
                <w:sz w:val="20"/>
                <w:szCs w:val="20"/>
              </w:rPr>
              <w:t>Inspectorate activity</w:t>
            </w:r>
          </w:p>
        </w:tc>
        <w:tc>
          <w:tcPr>
            <w:tcW w:w="6662" w:type="dxa"/>
            <w:tcBorders>
              <w:top w:val="single" w:sz="12" w:space="0" w:color="auto"/>
              <w:right w:val="single" w:sz="12" w:space="0" w:color="auto"/>
            </w:tcBorders>
            <w:shd w:val="clear" w:color="auto" w:fill="9CC2E5" w:themeFill="accent1" w:themeFillTint="99"/>
          </w:tcPr>
          <w:p w14:paraId="2E2CB93E" w14:textId="77777777" w:rsidR="00B4562F" w:rsidRDefault="00B4562F" w:rsidP="00BE7108">
            <w:pPr>
              <w:rPr>
                <w:sz w:val="20"/>
                <w:szCs w:val="20"/>
              </w:rPr>
            </w:pPr>
            <w:r>
              <w:rPr>
                <w:sz w:val="20"/>
                <w:szCs w:val="20"/>
              </w:rPr>
              <w:t>Notification of evaluation</w:t>
            </w:r>
          </w:p>
          <w:p w14:paraId="04CB40DD" w14:textId="77777777" w:rsidR="00B4562F" w:rsidRDefault="00B4562F" w:rsidP="00BE7108">
            <w:pPr>
              <w:rPr>
                <w:sz w:val="20"/>
                <w:szCs w:val="20"/>
              </w:rPr>
            </w:pPr>
            <w:r>
              <w:rPr>
                <w:sz w:val="20"/>
                <w:szCs w:val="20"/>
              </w:rPr>
              <w:t>Forwarding of invitation to p</w:t>
            </w:r>
            <w:r w:rsidRPr="00461E59">
              <w:rPr>
                <w:sz w:val="20"/>
                <w:szCs w:val="20"/>
              </w:rPr>
              <w:t>arent</w:t>
            </w:r>
            <w:r>
              <w:rPr>
                <w:sz w:val="20"/>
                <w:szCs w:val="20"/>
              </w:rPr>
              <w:t>s to complete an online parent</w:t>
            </w:r>
            <w:r w:rsidRPr="00461E59">
              <w:rPr>
                <w:sz w:val="20"/>
                <w:szCs w:val="20"/>
              </w:rPr>
              <w:t xml:space="preserve"> questionnaires </w:t>
            </w:r>
          </w:p>
          <w:p w14:paraId="048420C0" w14:textId="77777777" w:rsidR="00B4562F" w:rsidRPr="00461E59" w:rsidRDefault="00B4562F" w:rsidP="00BE7108">
            <w:pPr>
              <w:rPr>
                <w:sz w:val="20"/>
                <w:szCs w:val="20"/>
              </w:rPr>
            </w:pPr>
            <w:r>
              <w:rPr>
                <w:sz w:val="20"/>
                <w:szCs w:val="20"/>
              </w:rPr>
              <w:t xml:space="preserve">Confirmation that the inspector has access to complete and accurate timetable information </w:t>
            </w:r>
          </w:p>
          <w:p w14:paraId="5BE91DA5" w14:textId="77777777" w:rsidR="00B4562F" w:rsidRDefault="00B4562F" w:rsidP="00BE7108">
            <w:pPr>
              <w:rPr>
                <w:sz w:val="20"/>
                <w:szCs w:val="20"/>
              </w:rPr>
            </w:pPr>
            <w:r>
              <w:rPr>
                <w:sz w:val="20"/>
                <w:szCs w:val="20"/>
              </w:rPr>
              <w:t>Selecting the sample of students and parents for the group discussions and forwarding to principal</w:t>
            </w:r>
          </w:p>
          <w:p w14:paraId="1923301D" w14:textId="77777777" w:rsidR="00B4562F" w:rsidRPr="00461E59" w:rsidRDefault="00B4562F" w:rsidP="00BE7108">
            <w:pPr>
              <w:rPr>
                <w:sz w:val="20"/>
                <w:szCs w:val="20"/>
              </w:rPr>
            </w:pPr>
            <w:r>
              <w:rPr>
                <w:sz w:val="20"/>
                <w:szCs w:val="20"/>
              </w:rPr>
              <w:t>Devising an initial timetable for the evaluation</w:t>
            </w:r>
          </w:p>
        </w:tc>
      </w:tr>
      <w:tr w:rsidR="00B4562F" w:rsidRPr="00461E59" w14:paraId="2E8D8DA7" w14:textId="77777777" w:rsidTr="006C5991">
        <w:trPr>
          <w:cantSplit/>
          <w:trHeight w:val="1525"/>
        </w:trPr>
        <w:tc>
          <w:tcPr>
            <w:tcW w:w="1134" w:type="dxa"/>
            <w:vMerge/>
            <w:tcBorders>
              <w:left w:val="single" w:sz="12" w:space="0" w:color="auto"/>
              <w:bottom w:val="single" w:sz="12" w:space="0" w:color="auto"/>
            </w:tcBorders>
            <w:shd w:val="clear" w:color="auto" w:fill="8496B0" w:themeFill="text2" w:themeFillTint="99"/>
            <w:textDirection w:val="btLr"/>
            <w:vAlign w:val="center"/>
          </w:tcPr>
          <w:p w14:paraId="02D485B3" w14:textId="77777777" w:rsidR="00B4562F" w:rsidRPr="00461E59" w:rsidRDefault="00B4562F" w:rsidP="00BE7108">
            <w:pPr>
              <w:spacing w:after="108"/>
              <w:ind w:left="113"/>
              <w:jc w:val="center"/>
              <w:rPr>
                <w:rFonts w:eastAsia="Times New Roman" w:cs="Arial"/>
                <w:b/>
                <w:color w:val="FFFFFF" w:themeColor="background1"/>
                <w:sz w:val="20"/>
                <w:szCs w:val="20"/>
                <w:lang w:eastAsia="en-IE"/>
              </w:rPr>
            </w:pPr>
          </w:p>
        </w:tc>
        <w:tc>
          <w:tcPr>
            <w:tcW w:w="1276" w:type="dxa"/>
            <w:tcBorders>
              <w:bottom w:val="single" w:sz="12" w:space="0" w:color="auto"/>
            </w:tcBorders>
            <w:shd w:val="clear" w:color="auto" w:fill="DEEAF6" w:themeFill="accent1" w:themeFillTint="33"/>
            <w:vAlign w:val="center"/>
          </w:tcPr>
          <w:p w14:paraId="2E19DFE5" w14:textId="77777777" w:rsidR="00B4562F" w:rsidRPr="00461E59" w:rsidRDefault="00B4562F" w:rsidP="00BE7108">
            <w:pPr>
              <w:jc w:val="center"/>
              <w:rPr>
                <w:sz w:val="20"/>
                <w:szCs w:val="20"/>
              </w:rPr>
            </w:pPr>
            <w:r w:rsidRPr="00461E59">
              <w:rPr>
                <w:sz w:val="20"/>
                <w:szCs w:val="20"/>
              </w:rPr>
              <w:t>School activity</w:t>
            </w:r>
          </w:p>
        </w:tc>
        <w:tc>
          <w:tcPr>
            <w:tcW w:w="6662" w:type="dxa"/>
            <w:tcBorders>
              <w:bottom w:val="single" w:sz="12" w:space="0" w:color="auto"/>
              <w:right w:val="single" w:sz="12" w:space="0" w:color="auto"/>
            </w:tcBorders>
            <w:shd w:val="clear" w:color="auto" w:fill="DEEAF6" w:themeFill="accent1" w:themeFillTint="33"/>
          </w:tcPr>
          <w:p w14:paraId="31AF330E" w14:textId="77777777" w:rsidR="00B4562F" w:rsidRDefault="00B4562F" w:rsidP="00BE7108">
            <w:pPr>
              <w:rPr>
                <w:sz w:val="20"/>
                <w:szCs w:val="20"/>
              </w:rPr>
            </w:pPr>
            <w:r>
              <w:rPr>
                <w:sz w:val="20"/>
                <w:szCs w:val="20"/>
              </w:rPr>
              <w:t>Completion and/or forwarding of standard school information form</w:t>
            </w:r>
            <w:r w:rsidRPr="00461E59">
              <w:rPr>
                <w:sz w:val="20"/>
                <w:szCs w:val="20"/>
              </w:rPr>
              <w:t xml:space="preserve"> </w:t>
            </w:r>
          </w:p>
          <w:p w14:paraId="294668EB" w14:textId="77777777" w:rsidR="00B4562F" w:rsidRDefault="00B4562F" w:rsidP="00BE7108">
            <w:pPr>
              <w:rPr>
                <w:sz w:val="20"/>
                <w:szCs w:val="20"/>
              </w:rPr>
            </w:pPr>
            <w:r>
              <w:rPr>
                <w:sz w:val="20"/>
                <w:szCs w:val="20"/>
              </w:rPr>
              <w:t xml:space="preserve">Forwarding the </w:t>
            </w:r>
            <w:r w:rsidRPr="00651FFB">
              <w:rPr>
                <w:sz w:val="20"/>
                <w:szCs w:val="20"/>
                <w:lang w:val="en-GB"/>
              </w:rPr>
              <w:t>list of all students in the school who are in receipt of additional teaching support</w:t>
            </w:r>
          </w:p>
          <w:p w14:paraId="0D33C821" w14:textId="77777777" w:rsidR="00B4562F" w:rsidRDefault="00B4562F" w:rsidP="00BE7108">
            <w:pPr>
              <w:jc w:val="both"/>
              <w:rPr>
                <w:rFonts w:cs="Arial"/>
                <w:sz w:val="20"/>
                <w:szCs w:val="20"/>
              </w:rPr>
            </w:pPr>
            <w:r w:rsidRPr="00461E59">
              <w:rPr>
                <w:rFonts w:cs="Arial"/>
                <w:sz w:val="20"/>
                <w:szCs w:val="20"/>
              </w:rPr>
              <w:t xml:space="preserve">Principal secures parental permission of </w:t>
            </w:r>
            <w:r>
              <w:rPr>
                <w:rFonts w:cs="Arial"/>
                <w:sz w:val="20"/>
                <w:szCs w:val="20"/>
              </w:rPr>
              <w:t>students</w:t>
            </w:r>
            <w:r w:rsidRPr="00461E59">
              <w:rPr>
                <w:rFonts w:cs="Arial"/>
                <w:sz w:val="20"/>
                <w:szCs w:val="20"/>
              </w:rPr>
              <w:t xml:space="preserve"> selected to participate in </w:t>
            </w:r>
            <w:r>
              <w:rPr>
                <w:rFonts w:cs="Arial"/>
                <w:sz w:val="20"/>
                <w:szCs w:val="20"/>
              </w:rPr>
              <w:t>student focus group meeting</w:t>
            </w:r>
          </w:p>
          <w:p w14:paraId="16915BC7" w14:textId="77777777" w:rsidR="00B4562F" w:rsidRDefault="00B4562F" w:rsidP="00BE7108">
            <w:pPr>
              <w:jc w:val="both"/>
              <w:rPr>
                <w:rFonts w:cs="Arial"/>
                <w:sz w:val="20"/>
                <w:szCs w:val="20"/>
              </w:rPr>
            </w:pPr>
            <w:r>
              <w:rPr>
                <w:rFonts w:cs="Arial"/>
                <w:sz w:val="20"/>
                <w:szCs w:val="20"/>
              </w:rPr>
              <w:t>Principal confirms availability for parent focus group meeting</w:t>
            </w:r>
          </w:p>
          <w:p w14:paraId="617AA733" w14:textId="77777777" w:rsidR="00B4562F" w:rsidRDefault="00B4562F" w:rsidP="00BE7108">
            <w:pPr>
              <w:jc w:val="both"/>
              <w:rPr>
                <w:rFonts w:cs="Arial"/>
                <w:sz w:val="20"/>
                <w:szCs w:val="20"/>
              </w:rPr>
            </w:pPr>
            <w:r>
              <w:rPr>
                <w:rFonts w:cs="Arial"/>
                <w:sz w:val="20"/>
                <w:szCs w:val="20"/>
              </w:rPr>
              <w:t>Principal ensures inspector has access to complete and accurate timetable information</w:t>
            </w:r>
          </w:p>
          <w:p w14:paraId="396D3B6D" w14:textId="77777777" w:rsidR="00B4562F" w:rsidRPr="00461E59" w:rsidRDefault="00B4562F" w:rsidP="00BE7108">
            <w:pPr>
              <w:jc w:val="both"/>
              <w:rPr>
                <w:sz w:val="20"/>
                <w:szCs w:val="20"/>
              </w:rPr>
            </w:pPr>
            <w:r>
              <w:rPr>
                <w:rFonts w:cs="Arial"/>
                <w:sz w:val="20"/>
                <w:szCs w:val="20"/>
              </w:rPr>
              <w:t>Principal ensures that the required policies are available for inspection visit</w:t>
            </w:r>
          </w:p>
        </w:tc>
      </w:tr>
      <w:tr w:rsidR="00B4562F" w:rsidRPr="00461E59" w14:paraId="6863ED88" w14:textId="77777777" w:rsidTr="006C5991">
        <w:trPr>
          <w:cantSplit/>
          <w:trHeight w:val="2112"/>
        </w:trPr>
        <w:tc>
          <w:tcPr>
            <w:tcW w:w="1134" w:type="dxa"/>
            <w:tcBorders>
              <w:top w:val="single" w:sz="12" w:space="0" w:color="auto"/>
              <w:left w:val="single" w:sz="12" w:space="0" w:color="auto"/>
            </w:tcBorders>
            <w:shd w:val="clear" w:color="auto" w:fill="8496B0" w:themeFill="text2" w:themeFillTint="99"/>
            <w:textDirection w:val="btLr"/>
            <w:vAlign w:val="center"/>
          </w:tcPr>
          <w:p w14:paraId="07801D55" w14:textId="77777777" w:rsidR="00B4562F" w:rsidRPr="00461E59" w:rsidRDefault="00B4562F" w:rsidP="00BE7108">
            <w:pPr>
              <w:spacing w:after="108"/>
              <w:ind w:left="113"/>
              <w:jc w:val="center"/>
              <w:rPr>
                <w:rFonts w:eastAsia="Times New Roman" w:cs="Arial"/>
                <w:b/>
                <w:color w:val="FFFFFF" w:themeColor="background1"/>
                <w:sz w:val="20"/>
                <w:szCs w:val="20"/>
                <w:lang w:eastAsia="en-IE"/>
              </w:rPr>
            </w:pPr>
            <w:r w:rsidRPr="00461E59">
              <w:rPr>
                <w:rFonts w:eastAsia="Times New Roman" w:cs="Arial"/>
                <w:b/>
                <w:color w:val="FFFFFF" w:themeColor="background1"/>
                <w:sz w:val="20"/>
                <w:szCs w:val="20"/>
                <w:lang w:eastAsia="en-IE"/>
              </w:rPr>
              <w:lastRenderedPageBreak/>
              <w:t xml:space="preserve">During the inspection visit </w:t>
            </w:r>
          </w:p>
        </w:tc>
        <w:tc>
          <w:tcPr>
            <w:tcW w:w="1276" w:type="dxa"/>
            <w:tcBorders>
              <w:top w:val="single" w:sz="12" w:space="0" w:color="auto"/>
            </w:tcBorders>
            <w:shd w:val="clear" w:color="auto" w:fill="9CC2E5" w:themeFill="accent1" w:themeFillTint="99"/>
            <w:vAlign w:val="center"/>
          </w:tcPr>
          <w:p w14:paraId="58F1FB4D" w14:textId="77777777" w:rsidR="00B4562F" w:rsidRPr="00461E59" w:rsidRDefault="00B4562F" w:rsidP="00BE7108">
            <w:pPr>
              <w:jc w:val="center"/>
              <w:rPr>
                <w:sz w:val="20"/>
                <w:szCs w:val="20"/>
              </w:rPr>
            </w:pPr>
            <w:r w:rsidRPr="00461E59">
              <w:rPr>
                <w:sz w:val="20"/>
                <w:szCs w:val="20"/>
              </w:rPr>
              <w:t>Inspectorate activity</w:t>
            </w:r>
          </w:p>
          <w:p w14:paraId="5642A65E" w14:textId="77777777" w:rsidR="00B4562F" w:rsidRPr="00461E59" w:rsidRDefault="00B4562F" w:rsidP="00BE7108">
            <w:pPr>
              <w:jc w:val="center"/>
              <w:rPr>
                <w:sz w:val="20"/>
                <w:szCs w:val="20"/>
              </w:rPr>
            </w:pPr>
          </w:p>
          <w:p w14:paraId="55F5457B" w14:textId="77777777" w:rsidR="00B4562F" w:rsidRPr="00461E59" w:rsidRDefault="00B4562F" w:rsidP="00BE7108">
            <w:pPr>
              <w:jc w:val="center"/>
              <w:rPr>
                <w:sz w:val="20"/>
                <w:szCs w:val="20"/>
              </w:rPr>
            </w:pPr>
            <w:r w:rsidRPr="00461E59">
              <w:rPr>
                <w:sz w:val="20"/>
                <w:szCs w:val="20"/>
              </w:rPr>
              <w:t xml:space="preserve">Typically </w:t>
            </w:r>
          </w:p>
          <w:p w14:paraId="3D7757A6" w14:textId="77777777" w:rsidR="00B4562F" w:rsidRPr="00461E59" w:rsidRDefault="00B4562F" w:rsidP="00BE7108">
            <w:pPr>
              <w:jc w:val="center"/>
              <w:rPr>
                <w:sz w:val="20"/>
                <w:szCs w:val="20"/>
              </w:rPr>
            </w:pPr>
            <w:r>
              <w:rPr>
                <w:sz w:val="20"/>
                <w:szCs w:val="20"/>
              </w:rPr>
              <w:t xml:space="preserve">up to </w:t>
            </w:r>
            <w:r w:rsidRPr="00461E59">
              <w:rPr>
                <w:sz w:val="20"/>
                <w:szCs w:val="20"/>
              </w:rPr>
              <w:t>three school days</w:t>
            </w:r>
          </w:p>
          <w:p w14:paraId="266A5E96" w14:textId="77777777" w:rsidR="00B4562F" w:rsidRPr="00461E59" w:rsidRDefault="00B4562F" w:rsidP="00BE7108">
            <w:pPr>
              <w:jc w:val="center"/>
              <w:rPr>
                <w:sz w:val="20"/>
                <w:szCs w:val="20"/>
              </w:rPr>
            </w:pPr>
          </w:p>
        </w:tc>
        <w:tc>
          <w:tcPr>
            <w:tcW w:w="6662" w:type="dxa"/>
            <w:tcBorders>
              <w:top w:val="single" w:sz="12" w:space="0" w:color="auto"/>
              <w:right w:val="single" w:sz="12" w:space="0" w:color="auto"/>
            </w:tcBorders>
            <w:shd w:val="clear" w:color="auto" w:fill="9CC2E5" w:themeFill="accent1" w:themeFillTint="99"/>
          </w:tcPr>
          <w:p w14:paraId="59BB6DD1" w14:textId="77777777" w:rsidR="00B4562F" w:rsidRDefault="00B4562F" w:rsidP="00BE7108">
            <w:pPr>
              <w:jc w:val="both"/>
              <w:rPr>
                <w:rFonts w:eastAsia="Times New Roman" w:cs="Times New Roman"/>
                <w:sz w:val="20"/>
                <w:szCs w:val="20"/>
                <w:lang w:val="en-GB" w:eastAsia="en-GB"/>
              </w:rPr>
            </w:pPr>
            <w:r>
              <w:rPr>
                <w:rFonts w:eastAsia="Times New Roman" w:cs="Times New Roman"/>
                <w:sz w:val="20"/>
                <w:szCs w:val="20"/>
                <w:lang w:val="en-GB" w:eastAsia="en-GB"/>
              </w:rPr>
              <w:t xml:space="preserve">Examination of school provision plan and planning of visits to learning settings </w:t>
            </w:r>
          </w:p>
          <w:p w14:paraId="0670D627" w14:textId="77777777" w:rsidR="00B4562F" w:rsidRDefault="00B4562F" w:rsidP="00BE7108">
            <w:pPr>
              <w:jc w:val="both"/>
              <w:rPr>
                <w:rFonts w:eastAsia="Times New Roman" w:cs="Times New Roman"/>
                <w:sz w:val="20"/>
                <w:szCs w:val="20"/>
                <w:lang w:val="en-GB" w:eastAsia="en-GB"/>
              </w:rPr>
            </w:pPr>
            <w:r w:rsidRPr="00C316DB">
              <w:rPr>
                <w:rFonts w:eastAsia="Times New Roman" w:cs="Times New Roman"/>
                <w:sz w:val="20"/>
                <w:szCs w:val="20"/>
                <w:lang w:val="en-GB" w:eastAsia="en-GB"/>
              </w:rPr>
              <w:t>Evaluation of teaching and learning in mainstream and support settings</w:t>
            </w:r>
          </w:p>
          <w:p w14:paraId="31D446DF" w14:textId="77777777" w:rsidR="00B4562F" w:rsidRPr="00C316DB" w:rsidRDefault="00B4562F" w:rsidP="00BE7108">
            <w:pPr>
              <w:jc w:val="both"/>
              <w:rPr>
                <w:rFonts w:eastAsia="Times New Roman" w:cs="Times New Roman"/>
                <w:sz w:val="20"/>
                <w:szCs w:val="20"/>
                <w:lang w:val="en-GB" w:eastAsia="en-GB"/>
              </w:rPr>
            </w:pPr>
            <w:r>
              <w:rPr>
                <w:rFonts w:eastAsia="Times New Roman" w:cs="Times New Roman"/>
                <w:sz w:val="20"/>
                <w:szCs w:val="20"/>
                <w:lang w:val="en-GB" w:eastAsia="en-GB"/>
              </w:rPr>
              <w:t>Interaction with students’ and review of students’ work</w:t>
            </w:r>
          </w:p>
          <w:p w14:paraId="37AFB566" w14:textId="77777777" w:rsidR="00B4562F" w:rsidRPr="00C316DB" w:rsidRDefault="00B4562F" w:rsidP="00BE7108">
            <w:pPr>
              <w:jc w:val="both"/>
              <w:rPr>
                <w:rFonts w:eastAsia="Times New Roman" w:cs="Times New Roman"/>
                <w:sz w:val="20"/>
                <w:szCs w:val="20"/>
                <w:lang w:val="en-GB" w:eastAsia="en-GB"/>
              </w:rPr>
            </w:pPr>
            <w:r>
              <w:rPr>
                <w:rFonts w:eastAsia="Times New Roman" w:cs="Times New Roman"/>
                <w:sz w:val="20"/>
                <w:szCs w:val="20"/>
                <w:lang w:val="en-GB" w:eastAsia="en-GB"/>
              </w:rPr>
              <w:t xml:space="preserve">Meeting </w:t>
            </w:r>
            <w:r w:rsidRPr="00C316DB">
              <w:rPr>
                <w:rFonts w:eastAsia="Times New Roman" w:cs="Times New Roman"/>
                <w:sz w:val="20"/>
                <w:szCs w:val="20"/>
                <w:lang w:val="en-GB" w:eastAsia="en-GB"/>
              </w:rPr>
              <w:t>with the special education team</w:t>
            </w:r>
          </w:p>
          <w:p w14:paraId="6ACEE278" w14:textId="77777777" w:rsidR="00B4562F" w:rsidRDefault="00B4562F" w:rsidP="00BE7108">
            <w:pPr>
              <w:jc w:val="both"/>
              <w:rPr>
                <w:rFonts w:eastAsia="Times New Roman" w:cs="Times New Roman"/>
                <w:sz w:val="20"/>
                <w:szCs w:val="20"/>
                <w:lang w:val="en-GB" w:eastAsia="en-GB"/>
              </w:rPr>
            </w:pPr>
            <w:r>
              <w:rPr>
                <w:rFonts w:eastAsia="Times New Roman" w:cs="Times New Roman"/>
                <w:sz w:val="20"/>
                <w:szCs w:val="20"/>
                <w:lang w:val="en-GB" w:eastAsia="en-GB"/>
              </w:rPr>
              <w:t>Student focus group meeting</w:t>
            </w:r>
          </w:p>
          <w:p w14:paraId="1DD2FC53" w14:textId="77777777" w:rsidR="00B4562F" w:rsidRPr="00C316DB" w:rsidRDefault="00B4562F" w:rsidP="00BE7108">
            <w:pPr>
              <w:jc w:val="both"/>
              <w:rPr>
                <w:rFonts w:eastAsia="Times New Roman" w:cs="Times New Roman"/>
                <w:sz w:val="20"/>
                <w:szCs w:val="20"/>
                <w:lang w:val="en-GB" w:eastAsia="en-GB"/>
              </w:rPr>
            </w:pPr>
            <w:r>
              <w:rPr>
                <w:rFonts w:eastAsia="Times New Roman" w:cs="Times New Roman"/>
                <w:sz w:val="20"/>
                <w:szCs w:val="20"/>
                <w:lang w:val="en-GB" w:eastAsia="en-GB"/>
              </w:rPr>
              <w:t>Parent focus group meeting</w:t>
            </w:r>
            <w:r w:rsidRPr="00C316DB">
              <w:rPr>
                <w:rFonts w:eastAsia="Times New Roman" w:cs="Times New Roman"/>
                <w:sz w:val="20"/>
                <w:szCs w:val="20"/>
                <w:lang w:val="en-GB" w:eastAsia="en-GB"/>
              </w:rPr>
              <w:t xml:space="preserve"> </w:t>
            </w:r>
          </w:p>
          <w:p w14:paraId="4226B0D4" w14:textId="77777777" w:rsidR="00B4562F" w:rsidRDefault="00B4562F" w:rsidP="00BE7108">
            <w:pPr>
              <w:jc w:val="both"/>
              <w:rPr>
                <w:rFonts w:eastAsia="Times New Roman" w:cs="Times New Roman"/>
                <w:sz w:val="20"/>
                <w:szCs w:val="20"/>
                <w:lang w:val="en-GB" w:eastAsia="en-GB"/>
              </w:rPr>
            </w:pPr>
            <w:r w:rsidRPr="00C316DB">
              <w:rPr>
                <w:rFonts w:eastAsia="Times New Roman" w:cs="Times New Roman"/>
                <w:sz w:val="20"/>
                <w:szCs w:val="20"/>
                <w:lang w:val="en-GB" w:eastAsia="en-GB"/>
              </w:rPr>
              <w:t xml:space="preserve">Review of assessment data and school documents relevant to students with </w:t>
            </w:r>
            <w:r>
              <w:rPr>
                <w:rFonts w:cs="Times New Roman"/>
              </w:rPr>
              <w:t xml:space="preserve">additional and </w:t>
            </w:r>
            <w:r w:rsidRPr="00C316DB">
              <w:rPr>
                <w:rFonts w:eastAsia="Times New Roman" w:cs="Times New Roman"/>
                <w:sz w:val="20"/>
                <w:szCs w:val="20"/>
                <w:lang w:val="en-GB" w:eastAsia="en-GB"/>
              </w:rPr>
              <w:t>special educational needs</w:t>
            </w:r>
          </w:p>
          <w:p w14:paraId="615A8317" w14:textId="77777777" w:rsidR="00B4562F" w:rsidRPr="000F2F4F" w:rsidRDefault="00B4562F" w:rsidP="00BE7108">
            <w:pPr>
              <w:jc w:val="both"/>
              <w:rPr>
                <w:rFonts w:eastAsia="Times New Roman" w:cs="Times New Roman"/>
                <w:sz w:val="20"/>
                <w:szCs w:val="20"/>
                <w:lang w:val="en-GB" w:eastAsia="en-GB"/>
              </w:rPr>
            </w:pPr>
            <w:r>
              <w:rPr>
                <w:rFonts w:eastAsia="Times New Roman" w:cs="Times New Roman"/>
                <w:sz w:val="20"/>
                <w:szCs w:val="20"/>
                <w:lang w:val="en-GB" w:eastAsia="en-GB"/>
              </w:rPr>
              <w:t>Feedback to individual teachers and to principal and key members of the special education team</w:t>
            </w:r>
          </w:p>
        </w:tc>
      </w:tr>
      <w:tr w:rsidR="00B4562F" w:rsidRPr="00461E59" w14:paraId="4C3E0197" w14:textId="77777777" w:rsidTr="006C5991">
        <w:trPr>
          <w:cantSplit/>
          <w:trHeight w:val="573"/>
        </w:trPr>
        <w:tc>
          <w:tcPr>
            <w:tcW w:w="1134" w:type="dxa"/>
            <w:vMerge w:val="restart"/>
            <w:tcBorders>
              <w:top w:val="single" w:sz="12" w:space="0" w:color="auto"/>
              <w:left w:val="single" w:sz="12" w:space="0" w:color="auto"/>
            </w:tcBorders>
            <w:shd w:val="clear" w:color="auto" w:fill="8496B0" w:themeFill="text2" w:themeFillTint="99"/>
            <w:vAlign w:val="center"/>
          </w:tcPr>
          <w:p w14:paraId="5C9C74FD" w14:textId="77777777" w:rsidR="006C5991" w:rsidRPr="00461E59" w:rsidRDefault="006C5991" w:rsidP="006C5991">
            <w:pPr>
              <w:spacing w:after="108"/>
              <w:jc w:val="center"/>
              <w:rPr>
                <w:rFonts w:eastAsia="Times New Roman" w:cs="Arial"/>
                <w:b/>
                <w:color w:val="FFFFFF" w:themeColor="background1"/>
                <w:sz w:val="20"/>
                <w:szCs w:val="20"/>
                <w:lang w:eastAsia="en-IE"/>
              </w:rPr>
            </w:pPr>
            <w:r>
              <w:rPr>
                <w:rFonts w:eastAsia="Times New Roman" w:cs="Arial"/>
                <w:b/>
                <w:color w:val="FFFFFF" w:themeColor="background1"/>
                <w:sz w:val="20"/>
                <w:szCs w:val="20"/>
                <w:lang w:eastAsia="en-IE"/>
              </w:rPr>
              <w:t>After the Inspection visit</w:t>
            </w:r>
          </w:p>
        </w:tc>
        <w:tc>
          <w:tcPr>
            <w:tcW w:w="1276" w:type="dxa"/>
            <w:tcBorders>
              <w:top w:val="single" w:sz="12" w:space="0" w:color="auto"/>
            </w:tcBorders>
            <w:shd w:val="clear" w:color="auto" w:fill="DEEAF6" w:themeFill="accent1" w:themeFillTint="33"/>
            <w:vAlign w:val="center"/>
          </w:tcPr>
          <w:p w14:paraId="7940EE0A" w14:textId="77777777" w:rsidR="00B4562F" w:rsidRPr="00461E59" w:rsidRDefault="00B4562F" w:rsidP="00BE7108">
            <w:pPr>
              <w:jc w:val="center"/>
              <w:rPr>
                <w:sz w:val="20"/>
                <w:szCs w:val="20"/>
              </w:rPr>
            </w:pPr>
            <w:r w:rsidRPr="00461E59">
              <w:rPr>
                <w:sz w:val="20"/>
                <w:szCs w:val="20"/>
              </w:rPr>
              <w:t>School activity</w:t>
            </w:r>
          </w:p>
        </w:tc>
        <w:tc>
          <w:tcPr>
            <w:tcW w:w="6662" w:type="dxa"/>
            <w:tcBorders>
              <w:top w:val="single" w:sz="12" w:space="0" w:color="auto"/>
              <w:right w:val="single" w:sz="12" w:space="0" w:color="auto"/>
            </w:tcBorders>
            <w:shd w:val="clear" w:color="auto" w:fill="DEEAF6" w:themeFill="accent1" w:themeFillTint="33"/>
          </w:tcPr>
          <w:p w14:paraId="4AF8F78F" w14:textId="77777777" w:rsidR="00B4562F" w:rsidRPr="00461E59" w:rsidRDefault="006C5991" w:rsidP="00BE7108">
            <w:pPr>
              <w:rPr>
                <w:sz w:val="20"/>
                <w:szCs w:val="20"/>
              </w:rPr>
            </w:pPr>
            <w:r>
              <w:rPr>
                <w:sz w:val="20"/>
                <w:szCs w:val="20"/>
              </w:rPr>
              <w:t>Response at factual verification and school response stage, if relevant</w:t>
            </w:r>
          </w:p>
        </w:tc>
      </w:tr>
      <w:tr w:rsidR="00B4562F" w:rsidRPr="00461E59" w14:paraId="406C1D75" w14:textId="77777777" w:rsidTr="006C5991">
        <w:trPr>
          <w:cantSplit/>
          <w:trHeight w:val="559"/>
        </w:trPr>
        <w:tc>
          <w:tcPr>
            <w:tcW w:w="1134" w:type="dxa"/>
            <w:vMerge/>
            <w:tcBorders>
              <w:left w:val="single" w:sz="12" w:space="0" w:color="auto"/>
              <w:bottom w:val="single" w:sz="12" w:space="0" w:color="auto"/>
            </w:tcBorders>
            <w:shd w:val="clear" w:color="auto" w:fill="8496B0" w:themeFill="text2" w:themeFillTint="99"/>
            <w:textDirection w:val="btLr"/>
            <w:vAlign w:val="center"/>
          </w:tcPr>
          <w:p w14:paraId="01CFD321" w14:textId="77777777" w:rsidR="00B4562F" w:rsidRPr="00461E59" w:rsidRDefault="00B4562F" w:rsidP="00BE7108">
            <w:pPr>
              <w:spacing w:after="108"/>
              <w:ind w:left="113"/>
              <w:jc w:val="center"/>
              <w:rPr>
                <w:rFonts w:eastAsia="Times New Roman" w:cs="Arial"/>
                <w:color w:val="FFFFFF" w:themeColor="background1"/>
                <w:sz w:val="20"/>
                <w:szCs w:val="20"/>
                <w:lang w:eastAsia="en-IE"/>
              </w:rPr>
            </w:pPr>
          </w:p>
        </w:tc>
        <w:tc>
          <w:tcPr>
            <w:tcW w:w="1276" w:type="dxa"/>
            <w:tcBorders>
              <w:bottom w:val="single" w:sz="12" w:space="0" w:color="auto"/>
            </w:tcBorders>
            <w:shd w:val="clear" w:color="auto" w:fill="9CC2E5" w:themeFill="accent1" w:themeFillTint="99"/>
            <w:vAlign w:val="center"/>
          </w:tcPr>
          <w:p w14:paraId="1CE3413A" w14:textId="77777777" w:rsidR="00B4562F" w:rsidRPr="00461E59" w:rsidRDefault="00B4562F" w:rsidP="00BE7108">
            <w:pPr>
              <w:jc w:val="center"/>
              <w:rPr>
                <w:sz w:val="20"/>
                <w:szCs w:val="20"/>
              </w:rPr>
            </w:pPr>
            <w:r w:rsidRPr="00461E59">
              <w:rPr>
                <w:sz w:val="20"/>
                <w:szCs w:val="20"/>
              </w:rPr>
              <w:t xml:space="preserve">Inspectorate activity </w:t>
            </w:r>
          </w:p>
          <w:p w14:paraId="554A164D" w14:textId="77777777" w:rsidR="00B4562F" w:rsidRPr="00461E59" w:rsidRDefault="00B4562F" w:rsidP="00BE7108">
            <w:pPr>
              <w:jc w:val="center"/>
              <w:rPr>
                <w:sz w:val="20"/>
                <w:szCs w:val="20"/>
              </w:rPr>
            </w:pPr>
          </w:p>
        </w:tc>
        <w:tc>
          <w:tcPr>
            <w:tcW w:w="6662" w:type="dxa"/>
            <w:tcBorders>
              <w:bottom w:val="single" w:sz="12" w:space="0" w:color="auto"/>
              <w:right w:val="single" w:sz="12" w:space="0" w:color="auto"/>
            </w:tcBorders>
            <w:shd w:val="clear" w:color="auto" w:fill="9CC2E5" w:themeFill="accent1" w:themeFillTint="99"/>
          </w:tcPr>
          <w:p w14:paraId="16467CB7" w14:textId="77777777" w:rsidR="00B4562F" w:rsidRDefault="00B4562F" w:rsidP="00BE7108">
            <w:pPr>
              <w:rPr>
                <w:sz w:val="20"/>
                <w:szCs w:val="20"/>
              </w:rPr>
            </w:pPr>
            <w:r>
              <w:rPr>
                <w:sz w:val="20"/>
                <w:szCs w:val="20"/>
              </w:rPr>
              <w:t>Forwarding of questionnaire returns to school</w:t>
            </w:r>
          </w:p>
          <w:p w14:paraId="292B2BCF" w14:textId="77777777" w:rsidR="006C5991" w:rsidRDefault="006C5991" w:rsidP="006C5991">
            <w:pPr>
              <w:rPr>
                <w:sz w:val="20"/>
                <w:szCs w:val="20"/>
              </w:rPr>
            </w:pPr>
            <w:r>
              <w:rPr>
                <w:rFonts w:cstheme="majorHAnsi"/>
                <w:sz w:val="20"/>
                <w:szCs w:val="20"/>
              </w:rPr>
              <w:t>Issue</w:t>
            </w:r>
            <w:r w:rsidRPr="00E67BA0">
              <w:rPr>
                <w:rFonts w:cstheme="majorHAnsi"/>
                <w:sz w:val="20"/>
                <w:szCs w:val="20"/>
              </w:rPr>
              <w:t xml:space="preserve"> </w:t>
            </w:r>
            <w:r>
              <w:rPr>
                <w:rFonts w:cstheme="majorHAnsi"/>
                <w:sz w:val="20"/>
                <w:szCs w:val="20"/>
              </w:rPr>
              <w:t xml:space="preserve">of draft report </w:t>
            </w:r>
            <w:r w:rsidRPr="00E67BA0">
              <w:rPr>
                <w:rFonts w:cstheme="majorHAnsi"/>
                <w:sz w:val="20"/>
                <w:szCs w:val="20"/>
              </w:rPr>
              <w:t>for factual verification and for school response</w:t>
            </w:r>
          </w:p>
          <w:p w14:paraId="783C67EE" w14:textId="77777777" w:rsidR="00B4562F" w:rsidRPr="00461E59" w:rsidRDefault="006C5991" w:rsidP="006C5991">
            <w:pPr>
              <w:rPr>
                <w:sz w:val="20"/>
                <w:szCs w:val="20"/>
              </w:rPr>
            </w:pPr>
            <w:r>
              <w:rPr>
                <w:sz w:val="20"/>
                <w:szCs w:val="20"/>
              </w:rPr>
              <w:t>Publication of the final report on the Department website</w:t>
            </w:r>
          </w:p>
        </w:tc>
      </w:tr>
    </w:tbl>
    <w:p w14:paraId="0EB2DF0F" w14:textId="77777777" w:rsidR="00AD26B8" w:rsidRDefault="00AD26B8"/>
    <w:p w14:paraId="7F23F5D9" w14:textId="77777777" w:rsidR="00E67BA0" w:rsidRDefault="00E67BA0" w:rsidP="00E67BA0"/>
    <w:p w14:paraId="219B76E7" w14:textId="77777777" w:rsidR="00AD26B8" w:rsidRDefault="00AD26B8"/>
    <w:p w14:paraId="642D3323" w14:textId="77777777" w:rsidR="00AD26B8" w:rsidRDefault="00AD26B8"/>
    <w:sectPr w:rsidR="00AD26B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0F6B9" w14:textId="77777777" w:rsidR="001800F9" w:rsidRDefault="001800F9" w:rsidP="00AD26B8">
      <w:pPr>
        <w:spacing w:after="0" w:line="240" w:lineRule="auto"/>
      </w:pPr>
      <w:r>
        <w:separator/>
      </w:r>
    </w:p>
  </w:endnote>
  <w:endnote w:type="continuationSeparator" w:id="0">
    <w:p w14:paraId="42574408" w14:textId="77777777" w:rsidR="001800F9" w:rsidRDefault="001800F9" w:rsidP="00AD2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8530372"/>
      <w:docPartObj>
        <w:docPartGallery w:val="Page Numbers (Bottom of Page)"/>
        <w:docPartUnique/>
      </w:docPartObj>
    </w:sdtPr>
    <w:sdtEndPr/>
    <w:sdtContent>
      <w:sdt>
        <w:sdtPr>
          <w:id w:val="-1769616900"/>
          <w:docPartObj>
            <w:docPartGallery w:val="Page Numbers (Top of Page)"/>
            <w:docPartUnique/>
          </w:docPartObj>
        </w:sdtPr>
        <w:sdtEndPr/>
        <w:sdtContent>
          <w:p w14:paraId="0BAAA7DB" w14:textId="77777777" w:rsidR="004B4A26" w:rsidRDefault="004B4A26">
            <w:pPr>
              <w:pStyle w:val="Footer"/>
              <w:jc w:val="right"/>
            </w:pPr>
            <w:r w:rsidRPr="004B4A26">
              <w:rPr>
                <w:sz w:val="18"/>
                <w:szCs w:val="18"/>
              </w:rPr>
              <w:t xml:space="preserve">Page </w:t>
            </w:r>
            <w:r w:rsidRPr="004B4A26">
              <w:rPr>
                <w:b/>
                <w:bCs/>
                <w:sz w:val="18"/>
                <w:szCs w:val="18"/>
              </w:rPr>
              <w:fldChar w:fldCharType="begin"/>
            </w:r>
            <w:r w:rsidRPr="004B4A26">
              <w:rPr>
                <w:b/>
                <w:bCs/>
                <w:sz w:val="18"/>
                <w:szCs w:val="18"/>
              </w:rPr>
              <w:instrText xml:space="preserve"> PAGE </w:instrText>
            </w:r>
            <w:r w:rsidRPr="004B4A26">
              <w:rPr>
                <w:b/>
                <w:bCs/>
                <w:sz w:val="18"/>
                <w:szCs w:val="18"/>
              </w:rPr>
              <w:fldChar w:fldCharType="separate"/>
            </w:r>
            <w:r w:rsidR="00960C0E">
              <w:rPr>
                <w:b/>
                <w:bCs/>
                <w:noProof/>
                <w:sz w:val="18"/>
                <w:szCs w:val="18"/>
              </w:rPr>
              <w:t>1</w:t>
            </w:r>
            <w:r w:rsidRPr="004B4A26">
              <w:rPr>
                <w:b/>
                <w:bCs/>
                <w:sz w:val="18"/>
                <w:szCs w:val="18"/>
              </w:rPr>
              <w:fldChar w:fldCharType="end"/>
            </w:r>
            <w:r w:rsidRPr="004B4A26">
              <w:rPr>
                <w:sz w:val="18"/>
                <w:szCs w:val="18"/>
              </w:rPr>
              <w:t xml:space="preserve"> of </w:t>
            </w:r>
            <w:r w:rsidRPr="004B4A26">
              <w:rPr>
                <w:b/>
                <w:bCs/>
                <w:sz w:val="18"/>
                <w:szCs w:val="18"/>
              </w:rPr>
              <w:fldChar w:fldCharType="begin"/>
            </w:r>
            <w:r w:rsidRPr="004B4A26">
              <w:rPr>
                <w:b/>
                <w:bCs/>
                <w:sz w:val="18"/>
                <w:szCs w:val="18"/>
              </w:rPr>
              <w:instrText xml:space="preserve"> NUMPAGES  </w:instrText>
            </w:r>
            <w:r w:rsidRPr="004B4A26">
              <w:rPr>
                <w:b/>
                <w:bCs/>
                <w:sz w:val="18"/>
                <w:szCs w:val="18"/>
              </w:rPr>
              <w:fldChar w:fldCharType="separate"/>
            </w:r>
            <w:r w:rsidR="00960C0E">
              <w:rPr>
                <w:b/>
                <w:bCs/>
                <w:noProof/>
                <w:sz w:val="18"/>
                <w:szCs w:val="18"/>
              </w:rPr>
              <w:t>3</w:t>
            </w:r>
            <w:r w:rsidRPr="004B4A26">
              <w:rPr>
                <w:b/>
                <w:bCs/>
                <w:sz w:val="18"/>
                <w:szCs w:val="18"/>
              </w:rPr>
              <w:fldChar w:fldCharType="end"/>
            </w:r>
          </w:p>
        </w:sdtContent>
      </w:sdt>
    </w:sdtContent>
  </w:sdt>
  <w:p w14:paraId="2CF63249" w14:textId="77777777" w:rsidR="004B4A26" w:rsidRDefault="004B4A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79FFC" w14:textId="77777777" w:rsidR="001800F9" w:rsidRDefault="001800F9" w:rsidP="00AD26B8">
      <w:pPr>
        <w:spacing w:after="0" w:line="240" w:lineRule="auto"/>
      </w:pPr>
      <w:r>
        <w:separator/>
      </w:r>
    </w:p>
  </w:footnote>
  <w:footnote w:type="continuationSeparator" w:id="0">
    <w:p w14:paraId="079118B8" w14:textId="77777777" w:rsidR="001800F9" w:rsidRDefault="001800F9" w:rsidP="00AD26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C61CC"/>
    <w:multiLevelType w:val="hybridMultilevel"/>
    <w:tmpl w:val="3CA281AA"/>
    <w:lvl w:ilvl="0" w:tplc="18090001">
      <w:start w:val="1"/>
      <w:numFmt w:val="bullet"/>
      <w:lvlText w:val=""/>
      <w:lvlJc w:val="left"/>
      <w:pPr>
        <w:ind w:left="796" w:hanging="360"/>
      </w:pPr>
      <w:rPr>
        <w:rFonts w:ascii="Symbol" w:hAnsi="Symbol" w:hint="default"/>
      </w:rPr>
    </w:lvl>
    <w:lvl w:ilvl="1" w:tplc="18090003" w:tentative="1">
      <w:start w:val="1"/>
      <w:numFmt w:val="bullet"/>
      <w:lvlText w:val="o"/>
      <w:lvlJc w:val="left"/>
      <w:pPr>
        <w:ind w:left="1516" w:hanging="360"/>
      </w:pPr>
      <w:rPr>
        <w:rFonts w:ascii="Courier New" w:hAnsi="Courier New" w:cs="Courier New" w:hint="default"/>
      </w:rPr>
    </w:lvl>
    <w:lvl w:ilvl="2" w:tplc="18090005" w:tentative="1">
      <w:start w:val="1"/>
      <w:numFmt w:val="bullet"/>
      <w:lvlText w:val=""/>
      <w:lvlJc w:val="left"/>
      <w:pPr>
        <w:ind w:left="2236" w:hanging="360"/>
      </w:pPr>
      <w:rPr>
        <w:rFonts w:ascii="Wingdings" w:hAnsi="Wingdings" w:hint="default"/>
      </w:rPr>
    </w:lvl>
    <w:lvl w:ilvl="3" w:tplc="18090001" w:tentative="1">
      <w:start w:val="1"/>
      <w:numFmt w:val="bullet"/>
      <w:lvlText w:val=""/>
      <w:lvlJc w:val="left"/>
      <w:pPr>
        <w:ind w:left="2956" w:hanging="360"/>
      </w:pPr>
      <w:rPr>
        <w:rFonts w:ascii="Symbol" w:hAnsi="Symbol" w:hint="default"/>
      </w:rPr>
    </w:lvl>
    <w:lvl w:ilvl="4" w:tplc="18090003" w:tentative="1">
      <w:start w:val="1"/>
      <w:numFmt w:val="bullet"/>
      <w:lvlText w:val="o"/>
      <w:lvlJc w:val="left"/>
      <w:pPr>
        <w:ind w:left="3676" w:hanging="360"/>
      </w:pPr>
      <w:rPr>
        <w:rFonts w:ascii="Courier New" w:hAnsi="Courier New" w:cs="Courier New" w:hint="default"/>
      </w:rPr>
    </w:lvl>
    <w:lvl w:ilvl="5" w:tplc="18090005" w:tentative="1">
      <w:start w:val="1"/>
      <w:numFmt w:val="bullet"/>
      <w:lvlText w:val=""/>
      <w:lvlJc w:val="left"/>
      <w:pPr>
        <w:ind w:left="4396" w:hanging="360"/>
      </w:pPr>
      <w:rPr>
        <w:rFonts w:ascii="Wingdings" w:hAnsi="Wingdings" w:hint="default"/>
      </w:rPr>
    </w:lvl>
    <w:lvl w:ilvl="6" w:tplc="18090001" w:tentative="1">
      <w:start w:val="1"/>
      <w:numFmt w:val="bullet"/>
      <w:lvlText w:val=""/>
      <w:lvlJc w:val="left"/>
      <w:pPr>
        <w:ind w:left="5116" w:hanging="360"/>
      </w:pPr>
      <w:rPr>
        <w:rFonts w:ascii="Symbol" w:hAnsi="Symbol" w:hint="default"/>
      </w:rPr>
    </w:lvl>
    <w:lvl w:ilvl="7" w:tplc="18090003" w:tentative="1">
      <w:start w:val="1"/>
      <w:numFmt w:val="bullet"/>
      <w:lvlText w:val="o"/>
      <w:lvlJc w:val="left"/>
      <w:pPr>
        <w:ind w:left="5836" w:hanging="360"/>
      </w:pPr>
      <w:rPr>
        <w:rFonts w:ascii="Courier New" w:hAnsi="Courier New" w:cs="Courier New" w:hint="default"/>
      </w:rPr>
    </w:lvl>
    <w:lvl w:ilvl="8" w:tplc="18090005" w:tentative="1">
      <w:start w:val="1"/>
      <w:numFmt w:val="bullet"/>
      <w:lvlText w:val=""/>
      <w:lvlJc w:val="left"/>
      <w:pPr>
        <w:ind w:left="6556" w:hanging="360"/>
      </w:pPr>
      <w:rPr>
        <w:rFonts w:ascii="Wingdings" w:hAnsi="Wingdings" w:hint="default"/>
      </w:rPr>
    </w:lvl>
  </w:abstractNum>
  <w:abstractNum w:abstractNumId="1" w15:restartNumberingAfterBreak="0">
    <w:nsid w:val="1BE6709C"/>
    <w:multiLevelType w:val="hybridMultilevel"/>
    <w:tmpl w:val="CD48EF52"/>
    <w:lvl w:ilvl="0" w:tplc="18090001">
      <w:start w:val="1"/>
      <w:numFmt w:val="bullet"/>
      <w:lvlText w:val=""/>
      <w:lvlJc w:val="left"/>
      <w:pPr>
        <w:ind w:left="796" w:hanging="360"/>
      </w:pPr>
      <w:rPr>
        <w:rFonts w:ascii="Symbol" w:hAnsi="Symbol" w:hint="default"/>
      </w:rPr>
    </w:lvl>
    <w:lvl w:ilvl="1" w:tplc="18090003" w:tentative="1">
      <w:start w:val="1"/>
      <w:numFmt w:val="bullet"/>
      <w:lvlText w:val="o"/>
      <w:lvlJc w:val="left"/>
      <w:pPr>
        <w:ind w:left="1516" w:hanging="360"/>
      </w:pPr>
      <w:rPr>
        <w:rFonts w:ascii="Courier New" w:hAnsi="Courier New" w:cs="Courier New" w:hint="default"/>
      </w:rPr>
    </w:lvl>
    <w:lvl w:ilvl="2" w:tplc="18090005" w:tentative="1">
      <w:start w:val="1"/>
      <w:numFmt w:val="bullet"/>
      <w:lvlText w:val=""/>
      <w:lvlJc w:val="left"/>
      <w:pPr>
        <w:ind w:left="2236" w:hanging="360"/>
      </w:pPr>
      <w:rPr>
        <w:rFonts w:ascii="Wingdings" w:hAnsi="Wingdings" w:hint="default"/>
      </w:rPr>
    </w:lvl>
    <w:lvl w:ilvl="3" w:tplc="18090001" w:tentative="1">
      <w:start w:val="1"/>
      <w:numFmt w:val="bullet"/>
      <w:lvlText w:val=""/>
      <w:lvlJc w:val="left"/>
      <w:pPr>
        <w:ind w:left="2956" w:hanging="360"/>
      </w:pPr>
      <w:rPr>
        <w:rFonts w:ascii="Symbol" w:hAnsi="Symbol" w:hint="default"/>
      </w:rPr>
    </w:lvl>
    <w:lvl w:ilvl="4" w:tplc="18090003" w:tentative="1">
      <w:start w:val="1"/>
      <w:numFmt w:val="bullet"/>
      <w:lvlText w:val="o"/>
      <w:lvlJc w:val="left"/>
      <w:pPr>
        <w:ind w:left="3676" w:hanging="360"/>
      </w:pPr>
      <w:rPr>
        <w:rFonts w:ascii="Courier New" w:hAnsi="Courier New" w:cs="Courier New" w:hint="default"/>
      </w:rPr>
    </w:lvl>
    <w:lvl w:ilvl="5" w:tplc="18090005" w:tentative="1">
      <w:start w:val="1"/>
      <w:numFmt w:val="bullet"/>
      <w:lvlText w:val=""/>
      <w:lvlJc w:val="left"/>
      <w:pPr>
        <w:ind w:left="4396" w:hanging="360"/>
      </w:pPr>
      <w:rPr>
        <w:rFonts w:ascii="Wingdings" w:hAnsi="Wingdings" w:hint="default"/>
      </w:rPr>
    </w:lvl>
    <w:lvl w:ilvl="6" w:tplc="18090001" w:tentative="1">
      <w:start w:val="1"/>
      <w:numFmt w:val="bullet"/>
      <w:lvlText w:val=""/>
      <w:lvlJc w:val="left"/>
      <w:pPr>
        <w:ind w:left="5116" w:hanging="360"/>
      </w:pPr>
      <w:rPr>
        <w:rFonts w:ascii="Symbol" w:hAnsi="Symbol" w:hint="default"/>
      </w:rPr>
    </w:lvl>
    <w:lvl w:ilvl="7" w:tplc="18090003" w:tentative="1">
      <w:start w:val="1"/>
      <w:numFmt w:val="bullet"/>
      <w:lvlText w:val="o"/>
      <w:lvlJc w:val="left"/>
      <w:pPr>
        <w:ind w:left="5836" w:hanging="360"/>
      </w:pPr>
      <w:rPr>
        <w:rFonts w:ascii="Courier New" w:hAnsi="Courier New" w:cs="Courier New" w:hint="default"/>
      </w:rPr>
    </w:lvl>
    <w:lvl w:ilvl="8" w:tplc="18090005" w:tentative="1">
      <w:start w:val="1"/>
      <w:numFmt w:val="bullet"/>
      <w:lvlText w:val=""/>
      <w:lvlJc w:val="left"/>
      <w:pPr>
        <w:ind w:left="6556" w:hanging="360"/>
      </w:pPr>
      <w:rPr>
        <w:rFonts w:ascii="Wingdings" w:hAnsi="Wingdings" w:hint="default"/>
      </w:rPr>
    </w:lvl>
  </w:abstractNum>
  <w:abstractNum w:abstractNumId="2" w15:restartNumberingAfterBreak="0">
    <w:nsid w:val="1BF40641"/>
    <w:multiLevelType w:val="hybridMultilevel"/>
    <w:tmpl w:val="3C62F388"/>
    <w:lvl w:ilvl="0" w:tplc="18090003">
      <w:start w:val="1"/>
      <w:numFmt w:val="bullet"/>
      <w:lvlText w:val="o"/>
      <w:lvlJc w:val="left"/>
      <w:pPr>
        <w:ind w:left="360" w:hanging="360"/>
      </w:pPr>
      <w:rPr>
        <w:rFonts w:ascii="Courier New" w:hAnsi="Courier New" w:cs="Courier New"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1E747846"/>
    <w:multiLevelType w:val="hybridMultilevel"/>
    <w:tmpl w:val="F2A42E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04C2C4B"/>
    <w:multiLevelType w:val="hybridMultilevel"/>
    <w:tmpl w:val="E5A8E208"/>
    <w:lvl w:ilvl="0" w:tplc="18090003">
      <w:start w:val="1"/>
      <w:numFmt w:val="bullet"/>
      <w:lvlText w:val="o"/>
      <w:lvlJc w:val="left"/>
      <w:pPr>
        <w:ind w:left="360" w:hanging="360"/>
      </w:pPr>
      <w:rPr>
        <w:rFonts w:ascii="Courier New" w:hAnsi="Courier New" w:cs="Courier New"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26D21310"/>
    <w:multiLevelType w:val="multilevel"/>
    <w:tmpl w:val="78D4CB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295907CB"/>
    <w:multiLevelType w:val="hybridMultilevel"/>
    <w:tmpl w:val="646ACF8E"/>
    <w:lvl w:ilvl="0" w:tplc="18090001">
      <w:start w:val="1"/>
      <w:numFmt w:val="bullet"/>
      <w:lvlText w:val=""/>
      <w:lvlJc w:val="left"/>
      <w:pPr>
        <w:ind w:left="796" w:hanging="360"/>
      </w:pPr>
      <w:rPr>
        <w:rFonts w:ascii="Symbol" w:hAnsi="Symbol" w:hint="default"/>
      </w:rPr>
    </w:lvl>
    <w:lvl w:ilvl="1" w:tplc="18090003" w:tentative="1">
      <w:start w:val="1"/>
      <w:numFmt w:val="bullet"/>
      <w:lvlText w:val="o"/>
      <w:lvlJc w:val="left"/>
      <w:pPr>
        <w:ind w:left="1516" w:hanging="360"/>
      </w:pPr>
      <w:rPr>
        <w:rFonts w:ascii="Courier New" w:hAnsi="Courier New" w:cs="Courier New" w:hint="default"/>
      </w:rPr>
    </w:lvl>
    <w:lvl w:ilvl="2" w:tplc="18090005" w:tentative="1">
      <w:start w:val="1"/>
      <w:numFmt w:val="bullet"/>
      <w:lvlText w:val=""/>
      <w:lvlJc w:val="left"/>
      <w:pPr>
        <w:ind w:left="2236" w:hanging="360"/>
      </w:pPr>
      <w:rPr>
        <w:rFonts w:ascii="Wingdings" w:hAnsi="Wingdings" w:hint="default"/>
      </w:rPr>
    </w:lvl>
    <w:lvl w:ilvl="3" w:tplc="18090001" w:tentative="1">
      <w:start w:val="1"/>
      <w:numFmt w:val="bullet"/>
      <w:lvlText w:val=""/>
      <w:lvlJc w:val="left"/>
      <w:pPr>
        <w:ind w:left="2956" w:hanging="360"/>
      </w:pPr>
      <w:rPr>
        <w:rFonts w:ascii="Symbol" w:hAnsi="Symbol" w:hint="default"/>
      </w:rPr>
    </w:lvl>
    <w:lvl w:ilvl="4" w:tplc="18090003" w:tentative="1">
      <w:start w:val="1"/>
      <w:numFmt w:val="bullet"/>
      <w:lvlText w:val="o"/>
      <w:lvlJc w:val="left"/>
      <w:pPr>
        <w:ind w:left="3676" w:hanging="360"/>
      </w:pPr>
      <w:rPr>
        <w:rFonts w:ascii="Courier New" w:hAnsi="Courier New" w:cs="Courier New" w:hint="default"/>
      </w:rPr>
    </w:lvl>
    <w:lvl w:ilvl="5" w:tplc="18090005" w:tentative="1">
      <w:start w:val="1"/>
      <w:numFmt w:val="bullet"/>
      <w:lvlText w:val=""/>
      <w:lvlJc w:val="left"/>
      <w:pPr>
        <w:ind w:left="4396" w:hanging="360"/>
      </w:pPr>
      <w:rPr>
        <w:rFonts w:ascii="Wingdings" w:hAnsi="Wingdings" w:hint="default"/>
      </w:rPr>
    </w:lvl>
    <w:lvl w:ilvl="6" w:tplc="18090001" w:tentative="1">
      <w:start w:val="1"/>
      <w:numFmt w:val="bullet"/>
      <w:lvlText w:val=""/>
      <w:lvlJc w:val="left"/>
      <w:pPr>
        <w:ind w:left="5116" w:hanging="360"/>
      </w:pPr>
      <w:rPr>
        <w:rFonts w:ascii="Symbol" w:hAnsi="Symbol" w:hint="default"/>
      </w:rPr>
    </w:lvl>
    <w:lvl w:ilvl="7" w:tplc="18090003" w:tentative="1">
      <w:start w:val="1"/>
      <w:numFmt w:val="bullet"/>
      <w:lvlText w:val="o"/>
      <w:lvlJc w:val="left"/>
      <w:pPr>
        <w:ind w:left="5836" w:hanging="360"/>
      </w:pPr>
      <w:rPr>
        <w:rFonts w:ascii="Courier New" w:hAnsi="Courier New" w:cs="Courier New" w:hint="default"/>
      </w:rPr>
    </w:lvl>
    <w:lvl w:ilvl="8" w:tplc="18090005" w:tentative="1">
      <w:start w:val="1"/>
      <w:numFmt w:val="bullet"/>
      <w:lvlText w:val=""/>
      <w:lvlJc w:val="left"/>
      <w:pPr>
        <w:ind w:left="6556" w:hanging="360"/>
      </w:pPr>
      <w:rPr>
        <w:rFonts w:ascii="Wingdings" w:hAnsi="Wingdings" w:hint="default"/>
      </w:rPr>
    </w:lvl>
  </w:abstractNum>
  <w:abstractNum w:abstractNumId="7" w15:restartNumberingAfterBreak="0">
    <w:nsid w:val="40E01EAC"/>
    <w:multiLevelType w:val="hybridMultilevel"/>
    <w:tmpl w:val="D09EFC78"/>
    <w:lvl w:ilvl="0" w:tplc="18090001">
      <w:start w:val="1"/>
      <w:numFmt w:val="bullet"/>
      <w:lvlText w:val=""/>
      <w:lvlJc w:val="left"/>
      <w:pPr>
        <w:ind w:left="796" w:hanging="360"/>
      </w:pPr>
      <w:rPr>
        <w:rFonts w:ascii="Symbol" w:hAnsi="Symbol" w:hint="default"/>
      </w:rPr>
    </w:lvl>
    <w:lvl w:ilvl="1" w:tplc="18090003" w:tentative="1">
      <w:start w:val="1"/>
      <w:numFmt w:val="bullet"/>
      <w:lvlText w:val="o"/>
      <w:lvlJc w:val="left"/>
      <w:pPr>
        <w:ind w:left="1516" w:hanging="360"/>
      </w:pPr>
      <w:rPr>
        <w:rFonts w:ascii="Courier New" w:hAnsi="Courier New" w:cs="Courier New" w:hint="default"/>
      </w:rPr>
    </w:lvl>
    <w:lvl w:ilvl="2" w:tplc="18090005" w:tentative="1">
      <w:start w:val="1"/>
      <w:numFmt w:val="bullet"/>
      <w:lvlText w:val=""/>
      <w:lvlJc w:val="left"/>
      <w:pPr>
        <w:ind w:left="2236" w:hanging="360"/>
      </w:pPr>
      <w:rPr>
        <w:rFonts w:ascii="Wingdings" w:hAnsi="Wingdings" w:hint="default"/>
      </w:rPr>
    </w:lvl>
    <w:lvl w:ilvl="3" w:tplc="18090001" w:tentative="1">
      <w:start w:val="1"/>
      <w:numFmt w:val="bullet"/>
      <w:lvlText w:val=""/>
      <w:lvlJc w:val="left"/>
      <w:pPr>
        <w:ind w:left="2956" w:hanging="360"/>
      </w:pPr>
      <w:rPr>
        <w:rFonts w:ascii="Symbol" w:hAnsi="Symbol" w:hint="default"/>
      </w:rPr>
    </w:lvl>
    <w:lvl w:ilvl="4" w:tplc="18090003" w:tentative="1">
      <w:start w:val="1"/>
      <w:numFmt w:val="bullet"/>
      <w:lvlText w:val="o"/>
      <w:lvlJc w:val="left"/>
      <w:pPr>
        <w:ind w:left="3676" w:hanging="360"/>
      </w:pPr>
      <w:rPr>
        <w:rFonts w:ascii="Courier New" w:hAnsi="Courier New" w:cs="Courier New" w:hint="default"/>
      </w:rPr>
    </w:lvl>
    <w:lvl w:ilvl="5" w:tplc="18090005" w:tentative="1">
      <w:start w:val="1"/>
      <w:numFmt w:val="bullet"/>
      <w:lvlText w:val=""/>
      <w:lvlJc w:val="left"/>
      <w:pPr>
        <w:ind w:left="4396" w:hanging="360"/>
      </w:pPr>
      <w:rPr>
        <w:rFonts w:ascii="Wingdings" w:hAnsi="Wingdings" w:hint="default"/>
      </w:rPr>
    </w:lvl>
    <w:lvl w:ilvl="6" w:tplc="18090001" w:tentative="1">
      <w:start w:val="1"/>
      <w:numFmt w:val="bullet"/>
      <w:lvlText w:val=""/>
      <w:lvlJc w:val="left"/>
      <w:pPr>
        <w:ind w:left="5116" w:hanging="360"/>
      </w:pPr>
      <w:rPr>
        <w:rFonts w:ascii="Symbol" w:hAnsi="Symbol" w:hint="default"/>
      </w:rPr>
    </w:lvl>
    <w:lvl w:ilvl="7" w:tplc="18090003" w:tentative="1">
      <w:start w:val="1"/>
      <w:numFmt w:val="bullet"/>
      <w:lvlText w:val="o"/>
      <w:lvlJc w:val="left"/>
      <w:pPr>
        <w:ind w:left="5836" w:hanging="360"/>
      </w:pPr>
      <w:rPr>
        <w:rFonts w:ascii="Courier New" w:hAnsi="Courier New" w:cs="Courier New" w:hint="default"/>
      </w:rPr>
    </w:lvl>
    <w:lvl w:ilvl="8" w:tplc="18090005" w:tentative="1">
      <w:start w:val="1"/>
      <w:numFmt w:val="bullet"/>
      <w:lvlText w:val=""/>
      <w:lvlJc w:val="left"/>
      <w:pPr>
        <w:ind w:left="6556" w:hanging="360"/>
      </w:pPr>
      <w:rPr>
        <w:rFonts w:ascii="Wingdings" w:hAnsi="Wingdings" w:hint="default"/>
      </w:rPr>
    </w:lvl>
  </w:abstractNum>
  <w:abstractNum w:abstractNumId="8" w15:restartNumberingAfterBreak="0">
    <w:nsid w:val="441402EE"/>
    <w:multiLevelType w:val="hybridMultilevel"/>
    <w:tmpl w:val="5F885F0A"/>
    <w:lvl w:ilvl="0" w:tplc="98D47EF0">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15:restartNumberingAfterBreak="0">
    <w:nsid w:val="4C5B0D89"/>
    <w:multiLevelType w:val="hybridMultilevel"/>
    <w:tmpl w:val="020A93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B31258A"/>
    <w:multiLevelType w:val="multilevel"/>
    <w:tmpl w:val="009CBB1E"/>
    <w:lvl w:ilvl="0">
      <w:start w:val="1"/>
      <w:numFmt w:val="decimal"/>
      <w:lvlText w:val="%1."/>
      <w:lvlJc w:val="left"/>
      <w:pPr>
        <w:ind w:left="76"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428" w:hanging="1440"/>
      </w:pPr>
      <w:rPr>
        <w:rFonts w:hint="default"/>
      </w:rPr>
    </w:lvl>
  </w:abstractNum>
  <w:abstractNum w:abstractNumId="11" w15:restartNumberingAfterBreak="0">
    <w:nsid w:val="61F0089F"/>
    <w:multiLevelType w:val="hybridMultilevel"/>
    <w:tmpl w:val="F3A0E3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64A71C9"/>
    <w:multiLevelType w:val="hybridMultilevel"/>
    <w:tmpl w:val="42FC0B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74B0588E"/>
    <w:multiLevelType w:val="hybridMultilevel"/>
    <w:tmpl w:val="00A407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EE91192"/>
    <w:multiLevelType w:val="hybridMultilevel"/>
    <w:tmpl w:val="862CE2D2"/>
    <w:lvl w:ilvl="0" w:tplc="18090001">
      <w:start w:val="1"/>
      <w:numFmt w:val="bullet"/>
      <w:lvlText w:val=""/>
      <w:lvlJc w:val="left"/>
      <w:pPr>
        <w:ind w:left="796" w:hanging="360"/>
      </w:pPr>
      <w:rPr>
        <w:rFonts w:ascii="Symbol" w:hAnsi="Symbol" w:hint="default"/>
      </w:rPr>
    </w:lvl>
    <w:lvl w:ilvl="1" w:tplc="18090003" w:tentative="1">
      <w:start w:val="1"/>
      <w:numFmt w:val="bullet"/>
      <w:lvlText w:val="o"/>
      <w:lvlJc w:val="left"/>
      <w:pPr>
        <w:ind w:left="1516" w:hanging="360"/>
      </w:pPr>
      <w:rPr>
        <w:rFonts w:ascii="Courier New" w:hAnsi="Courier New" w:cs="Courier New" w:hint="default"/>
      </w:rPr>
    </w:lvl>
    <w:lvl w:ilvl="2" w:tplc="18090005" w:tentative="1">
      <w:start w:val="1"/>
      <w:numFmt w:val="bullet"/>
      <w:lvlText w:val=""/>
      <w:lvlJc w:val="left"/>
      <w:pPr>
        <w:ind w:left="2236" w:hanging="360"/>
      </w:pPr>
      <w:rPr>
        <w:rFonts w:ascii="Wingdings" w:hAnsi="Wingdings" w:hint="default"/>
      </w:rPr>
    </w:lvl>
    <w:lvl w:ilvl="3" w:tplc="18090001" w:tentative="1">
      <w:start w:val="1"/>
      <w:numFmt w:val="bullet"/>
      <w:lvlText w:val=""/>
      <w:lvlJc w:val="left"/>
      <w:pPr>
        <w:ind w:left="2956" w:hanging="360"/>
      </w:pPr>
      <w:rPr>
        <w:rFonts w:ascii="Symbol" w:hAnsi="Symbol" w:hint="default"/>
      </w:rPr>
    </w:lvl>
    <w:lvl w:ilvl="4" w:tplc="18090003" w:tentative="1">
      <w:start w:val="1"/>
      <w:numFmt w:val="bullet"/>
      <w:lvlText w:val="o"/>
      <w:lvlJc w:val="left"/>
      <w:pPr>
        <w:ind w:left="3676" w:hanging="360"/>
      </w:pPr>
      <w:rPr>
        <w:rFonts w:ascii="Courier New" w:hAnsi="Courier New" w:cs="Courier New" w:hint="default"/>
      </w:rPr>
    </w:lvl>
    <w:lvl w:ilvl="5" w:tplc="18090005" w:tentative="1">
      <w:start w:val="1"/>
      <w:numFmt w:val="bullet"/>
      <w:lvlText w:val=""/>
      <w:lvlJc w:val="left"/>
      <w:pPr>
        <w:ind w:left="4396" w:hanging="360"/>
      </w:pPr>
      <w:rPr>
        <w:rFonts w:ascii="Wingdings" w:hAnsi="Wingdings" w:hint="default"/>
      </w:rPr>
    </w:lvl>
    <w:lvl w:ilvl="6" w:tplc="18090001" w:tentative="1">
      <w:start w:val="1"/>
      <w:numFmt w:val="bullet"/>
      <w:lvlText w:val=""/>
      <w:lvlJc w:val="left"/>
      <w:pPr>
        <w:ind w:left="5116" w:hanging="360"/>
      </w:pPr>
      <w:rPr>
        <w:rFonts w:ascii="Symbol" w:hAnsi="Symbol" w:hint="default"/>
      </w:rPr>
    </w:lvl>
    <w:lvl w:ilvl="7" w:tplc="18090003" w:tentative="1">
      <w:start w:val="1"/>
      <w:numFmt w:val="bullet"/>
      <w:lvlText w:val="o"/>
      <w:lvlJc w:val="left"/>
      <w:pPr>
        <w:ind w:left="5836" w:hanging="360"/>
      </w:pPr>
      <w:rPr>
        <w:rFonts w:ascii="Courier New" w:hAnsi="Courier New" w:cs="Courier New" w:hint="default"/>
      </w:rPr>
    </w:lvl>
    <w:lvl w:ilvl="8" w:tplc="18090005" w:tentative="1">
      <w:start w:val="1"/>
      <w:numFmt w:val="bullet"/>
      <w:lvlText w:val=""/>
      <w:lvlJc w:val="left"/>
      <w:pPr>
        <w:ind w:left="6556" w:hanging="360"/>
      </w:pPr>
      <w:rPr>
        <w:rFonts w:ascii="Wingdings" w:hAnsi="Wingdings" w:hint="default"/>
      </w:rPr>
    </w:lvl>
  </w:abstractNum>
  <w:num w:numId="1">
    <w:abstractNumId w:val="9"/>
  </w:num>
  <w:num w:numId="2">
    <w:abstractNumId w:val="10"/>
  </w:num>
  <w:num w:numId="3">
    <w:abstractNumId w:val="1"/>
  </w:num>
  <w:num w:numId="4">
    <w:abstractNumId w:val="0"/>
  </w:num>
  <w:num w:numId="5">
    <w:abstractNumId w:val="14"/>
  </w:num>
  <w:num w:numId="6">
    <w:abstractNumId w:val="6"/>
  </w:num>
  <w:num w:numId="7">
    <w:abstractNumId w:val="7"/>
  </w:num>
  <w:num w:numId="8">
    <w:abstractNumId w:val="11"/>
  </w:num>
  <w:num w:numId="9">
    <w:abstractNumId w:val="2"/>
  </w:num>
  <w:num w:numId="10">
    <w:abstractNumId w:val="3"/>
  </w:num>
  <w:num w:numId="11">
    <w:abstractNumId w:val="4"/>
  </w:num>
  <w:num w:numId="12">
    <w:abstractNumId w:val="13"/>
  </w:num>
  <w:num w:numId="13">
    <w:abstractNumId w:val="12"/>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818"/>
    <w:rsid w:val="001800F9"/>
    <w:rsid w:val="00211E03"/>
    <w:rsid w:val="002D56A8"/>
    <w:rsid w:val="004B4A26"/>
    <w:rsid w:val="004D17EF"/>
    <w:rsid w:val="006C5991"/>
    <w:rsid w:val="006D5A6E"/>
    <w:rsid w:val="007434BC"/>
    <w:rsid w:val="00930252"/>
    <w:rsid w:val="00960C0E"/>
    <w:rsid w:val="00AD26B8"/>
    <w:rsid w:val="00B4562F"/>
    <w:rsid w:val="00BA49C2"/>
    <w:rsid w:val="00CE43AD"/>
    <w:rsid w:val="00D0418C"/>
    <w:rsid w:val="00D60DDC"/>
    <w:rsid w:val="00E67BA0"/>
    <w:rsid w:val="00EC381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141FD"/>
  <w15:chartTrackingRefBased/>
  <w15:docId w15:val="{EA43F6AD-B4D3-402A-AB38-1DAA49C7F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3818"/>
    <w:rPr>
      <w:color w:val="0563C1" w:themeColor="hyperlink"/>
      <w:u w:val="single"/>
    </w:rPr>
  </w:style>
  <w:style w:type="paragraph" w:styleId="NormalWeb">
    <w:name w:val="Normal (Web)"/>
    <w:basedOn w:val="Normal"/>
    <w:uiPriority w:val="99"/>
    <w:unhideWhenUsed/>
    <w:rsid w:val="00EC3818"/>
    <w:pPr>
      <w:spacing w:after="150"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99"/>
    <w:qFormat/>
    <w:rsid w:val="00EC3818"/>
    <w:pPr>
      <w:ind w:left="720"/>
      <w:contextualSpacing/>
    </w:pPr>
  </w:style>
  <w:style w:type="paragraph" w:styleId="FootnoteText">
    <w:name w:val="footnote text"/>
    <w:basedOn w:val="Normal"/>
    <w:link w:val="FootnoteTextChar"/>
    <w:uiPriority w:val="99"/>
    <w:semiHidden/>
    <w:unhideWhenUsed/>
    <w:rsid w:val="00AD26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26B8"/>
    <w:rPr>
      <w:sz w:val="20"/>
      <w:szCs w:val="20"/>
    </w:rPr>
  </w:style>
  <w:style w:type="character" w:styleId="FootnoteReference">
    <w:name w:val="footnote reference"/>
    <w:basedOn w:val="DefaultParagraphFont"/>
    <w:uiPriority w:val="99"/>
    <w:semiHidden/>
    <w:unhideWhenUsed/>
    <w:rsid w:val="00AD26B8"/>
    <w:rPr>
      <w:vertAlign w:val="superscript"/>
    </w:rPr>
  </w:style>
  <w:style w:type="table" w:styleId="TableGrid">
    <w:name w:val="Table Grid"/>
    <w:basedOn w:val="TableNormal"/>
    <w:uiPriority w:val="39"/>
    <w:rsid w:val="00E67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4A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4A26"/>
  </w:style>
  <w:style w:type="paragraph" w:styleId="Footer">
    <w:name w:val="footer"/>
    <w:basedOn w:val="Normal"/>
    <w:link w:val="FooterChar"/>
    <w:uiPriority w:val="99"/>
    <w:unhideWhenUsed/>
    <w:rsid w:val="004B4A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4A26"/>
  </w:style>
  <w:style w:type="character" w:styleId="CommentReference">
    <w:name w:val="annotation reference"/>
    <w:basedOn w:val="DefaultParagraphFont"/>
    <w:uiPriority w:val="99"/>
    <w:semiHidden/>
    <w:unhideWhenUsed/>
    <w:rsid w:val="00BA49C2"/>
    <w:rPr>
      <w:sz w:val="16"/>
      <w:szCs w:val="16"/>
    </w:rPr>
  </w:style>
  <w:style w:type="paragraph" w:styleId="CommentText">
    <w:name w:val="annotation text"/>
    <w:basedOn w:val="Normal"/>
    <w:link w:val="CommentTextChar"/>
    <w:uiPriority w:val="99"/>
    <w:semiHidden/>
    <w:unhideWhenUsed/>
    <w:rsid w:val="00BA49C2"/>
    <w:pPr>
      <w:spacing w:line="240" w:lineRule="auto"/>
    </w:pPr>
    <w:rPr>
      <w:sz w:val="20"/>
      <w:szCs w:val="20"/>
    </w:rPr>
  </w:style>
  <w:style w:type="character" w:customStyle="1" w:styleId="CommentTextChar">
    <w:name w:val="Comment Text Char"/>
    <w:basedOn w:val="DefaultParagraphFont"/>
    <w:link w:val="CommentText"/>
    <w:uiPriority w:val="99"/>
    <w:semiHidden/>
    <w:rsid w:val="00BA49C2"/>
    <w:rPr>
      <w:sz w:val="20"/>
      <w:szCs w:val="20"/>
    </w:rPr>
  </w:style>
  <w:style w:type="paragraph" w:styleId="CommentSubject">
    <w:name w:val="annotation subject"/>
    <w:basedOn w:val="CommentText"/>
    <w:next w:val="CommentText"/>
    <w:link w:val="CommentSubjectChar"/>
    <w:uiPriority w:val="99"/>
    <w:semiHidden/>
    <w:unhideWhenUsed/>
    <w:rsid w:val="00BA49C2"/>
    <w:rPr>
      <w:b/>
      <w:bCs/>
    </w:rPr>
  </w:style>
  <w:style w:type="character" w:customStyle="1" w:styleId="CommentSubjectChar">
    <w:name w:val="Comment Subject Char"/>
    <w:basedOn w:val="CommentTextChar"/>
    <w:link w:val="CommentSubject"/>
    <w:uiPriority w:val="99"/>
    <w:semiHidden/>
    <w:rsid w:val="00BA49C2"/>
    <w:rPr>
      <w:b/>
      <w:bCs/>
      <w:sz w:val="20"/>
      <w:szCs w:val="20"/>
    </w:rPr>
  </w:style>
  <w:style w:type="paragraph" w:styleId="BalloonText">
    <w:name w:val="Balloon Text"/>
    <w:basedOn w:val="Normal"/>
    <w:link w:val="BalloonTextChar"/>
    <w:uiPriority w:val="99"/>
    <w:semiHidden/>
    <w:unhideWhenUsed/>
    <w:rsid w:val="00BA49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9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Skills</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MacGiollaPhadraig, Brian</dc:creator>
  <cp:keywords/>
  <dc:description/>
  <cp:lastModifiedBy>cgriffin</cp:lastModifiedBy>
  <cp:revision>2</cp:revision>
  <dcterms:created xsi:type="dcterms:W3CDTF">2018-09-13T09:05:00Z</dcterms:created>
  <dcterms:modified xsi:type="dcterms:W3CDTF">2018-09-13T09:05:00Z</dcterms:modified>
</cp:coreProperties>
</file>