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B807" w14:textId="2E887D14" w:rsidR="00DB7482" w:rsidRPr="003E651B" w:rsidRDefault="000572B6" w:rsidP="000572B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20" w:color="auto" w:fill="auto"/>
        <w:spacing w:line="240" w:lineRule="auto"/>
        <w:ind w:right="322"/>
        <w:jc w:val="both"/>
        <w:rPr>
          <w:rFonts w:cstheme="minorHAnsi"/>
          <w:b/>
          <w:bCs/>
          <w:color w:val="000000"/>
          <w:sz w:val="24"/>
        </w:rPr>
      </w:pPr>
      <w:r>
        <w:rPr>
          <w:rFonts w:cstheme="minorHAnsi"/>
          <w:b/>
          <w:color w:val="000000"/>
          <w:sz w:val="24"/>
        </w:rPr>
        <w:t xml:space="preserve">To: </w:t>
      </w:r>
      <w:r w:rsidRPr="000572B6">
        <w:rPr>
          <w:rFonts w:cstheme="minorHAnsi"/>
          <w:b/>
          <w:color w:val="000000"/>
          <w:sz w:val="24"/>
        </w:rPr>
        <w:t>Technological Universities, Institutes of Technology, the National University of Ireland, the Royal Irish Academy, Mary Immaculate College of Education, the National College of Art and Design and St. Angela’s College</w:t>
      </w:r>
    </w:p>
    <w:p w14:paraId="2392C8AF" w14:textId="77777777" w:rsidR="00DB7482" w:rsidRPr="003E651B" w:rsidRDefault="00DB7482" w:rsidP="00DB7482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b/>
          <w:bCs/>
          <w:sz w:val="24"/>
        </w:rPr>
      </w:pPr>
    </w:p>
    <w:p w14:paraId="434225A7" w14:textId="3B269C3B" w:rsidR="00DB7482" w:rsidRPr="00661165" w:rsidRDefault="00DB7482" w:rsidP="00661165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sz w:val="24"/>
        </w:rPr>
      </w:pPr>
      <w:r w:rsidRPr="00D03920">
        <w:rPr>
          <w:rFonts w:cstheme="minorHAnsi"/>
          <w:b/>
          <w:bCs/>
          <w:sz w:val="24"/>
        </w:rPr>
        <w:t xml:space="preserve">                                                                                             Circular </w:t>
      </w:r>
      <w:r w:rsidR="00227D5B">
        <w:rPr>
          <w:rFonts w:cstheme="minorHAnsi"/>
          <w:b/>
          <w:bCs/>
          <w:sz w:val="24"/>
        </w:rPr>
        <w:t>00</w:t>
      </w:r>
      <w:r w:rsidR="00E6164F">
        <w:rPr>
          <w:rFonts w:cstheme="minorHAnsi"/>
          <w:b/>
          <w:bCs/>
          <w:sz w:val="24"/>
        </w:rPr>
        <w:t>1</w:t>
      </w:r>
      <w:r w:rsidR="00227D5B">
        <w:rPr>
          <w:rFonts w:cstheme="minorHAnsi"/>
          <w:b/>
          <w:bCs/>
          <w:sz w:val="24"/>
        </w:rPr>
        <w:t>/2023</w:t>
      </w:r>
    </w:p>
    <w:p w14:paraId="578DAC73" w14:textId="5154CE70" w:rsidR="00DB7482" w:rsidRDefault="00DB7482" w:rsidP="00DB7482">
      <w:pPr>
        <w:pStyle w:val="Default"/>
        <w:jc w:val="center"/>
        <w:rPr>
          <w:rFonts w:cstheme="minorHAnsi"/>
          <w:b/>
        </w:rPr>
      </w:pPr>
      <w:r>
        <w:rPr>
          <w:rFonts w:cstheme="minorHAnsi"/>
          <w:b/>
        </w:rPr>
        <w:t>Application of 1</w:t>
      </w:r>
      <w:r w:rsidRPr="004757F6">
        <w:rPr>
          <w:rFonts w:cstheme="minorHAnsi"/>
          <w:b/>
          <w:vertAlign w:val="superscript"/>
        </w:rPr>
        <w:t>st</w:t>
      </w:r>
      <w:r>
        <w:rPr>
          <w:rFonts w:cstheme="minorHAnsi"/>
          <w:b/>
        </w:rPr>
        <w:t xml:space="preserve"> February</w:t>
      </w:r>
      <w:r w:rsidRPr="00546E92">
        <w:rPr>
          <w:rFonts w:cstheme="minorHAnsi"/>
          <w:b/>
        </w:rPr>
        <w:t xml:space="preserve"> 202</w:t>
      </w:r>
      <w:r w:rsidR="00227D5B">
        <w:rPr>
          <w:rFonts w:cstheme="minorHAnsi"/>
          <w:b/>
        </w:rPr>
        <w:t>3</w:t>
      </w:r>
      <w:r>
        <w:rPr>
          <w:rFonts w:cstheme="minorHAnsi"/>
          <w:b/>
        </w:rPr>
        <w:t xml:space="preserve"> </w:t>
      </w:r>
      <w:r w:rsidRPr="00546E92">
        <w:rPr>
          <w:rFonts w:cstheme="minorHAnsi"/>
          <w:b/>
        </w:rPr>
        <w:t>pay adjustments</w:t>
      </w:r>
      <w:r w:rsidR="00F65911">
        <w:rPr>
          <w:rFonts w:cstheme="minorHAnsi"/>
          <w:b/>
        </w:rPr>
        <w:t xml:space="preserve"> to</w:t>
      </w:r>
      <w:r w:rsidR="0034005B">
        <w:rPr>
          <w:rFonts w:cstheme="minorHAnsi"/>
          <w:b/>
        </w:rPr>
        <w:t xml:space="preserve"> grades represented by the Teachers Union of Ireland</w:t>
      </w:r>
      <w:r w:rsidR="00F65911">
        <w:rPr>
          <w:rFonts w:cstheme="minorHAnsi"/>
          <w:b/>
        </w:rPr>
        <w:t xml:space="preserve"> </w:t>
      </w:r>
      <w:r w:rsidR="0034005B">
        <w:rPr>
          <w:rFonts w:cstheme="minorHAnsi"/>
          <w:b/>
        </w:rPr>
        <w:t>(</w:t>
      </w:r>
      <w:r w:rsidR="00F65911">
        <w:rPr>
          <w:rFonts w:cstheme="minorHAnsi"/>
          <w:b/>
        </w:rPr>
        <w:t>TUI</w:t>
      </w:r>
      <w:r w:rsidR="0034005B">
        <w:rPr>
          <w:rFonts w:cstheme="minorHAnsi"/>
          <w:b/>
        </w:rPr>
        <w:t>)</w:t>
      </w:r>
      <w:r w:rsidR="00F65911">
        <w:rPr>
          <w:rFonts w:cstheme="minorHAnsi"/>
          <w:b/>
        </w:rPr>
        <w:t xml:space="preserve"> </w:t>
      </w:r>
    </w:p>
    <w:p w14:paraId="711D8A92" w14:textId="77777777" w:rsidR="00DB7482" w:rsidRPr="000B0293" w:rsidRDefault="00DB7482" w:rsidP="00DB7482">
      <w:pPr>
        <w:pStyle w:val="Default"/>
        <w:jc w:val="center"/>
        <w:rPr>
          <w:rFonts w:asciiTheme="minorHAnsi" w:hAnsiTheme="minorHAnsi" w:cstheme="minorHAnsi"/>
        </w:rPr>
      </w:pPr>
    </w:p>
    <w:p w14:paraId="1559F83B" w14:textId="2D4693FF" w:rsidR="00DB7482" w:rsidRDefault="00DB7482" w:rsidP="00DB7482">
      <w:pPr>
        <w:pStyle w:val="Default"/>
        <w:jc w:val="both"/>
        <w:rPr>
          <w:rFonts w:asciiTheme="majorHAnsi" w:hAnsiTheme="majorHAnsi" w:cstheme="majorHAnsi"/>
        </w:rPr>
      </w:pPr>
      <w:r w:rsidRPr="002F5FB7">
        <w:rPr>
          <w:rFonts w:asciiTheme="majorHAnsi" w:hAnsiTheme="majorHAnsi" w:cstheme="majorHAnsi"/>
        </w:rPr>
        <w:t>The Minister for Further and Higher Education, Research, Innovation and Science wishes to inform Higher Education Institutions of revised rates of salary and allowances for</w:t>
      </w:r>
      <w:r w:rsidR="00F65911">
        <w:rPr>
          <w:rFonts w:asciiTheme="majorHAnsi" w:hAnsiTheme="majorHAnsi" w:cstheme="majorHAnsi"/>
        </w:rPr>
        <w:t xml:space="preserve"> </w:t>
      </w:r>
      <w:r w:rsidR="0034005B">
        <w:rPr>
          <w:rFonts w:asciiTheme="majorHAnsi" w:hAnsiTheme="majorHAnsi" w:cstheme="majorHAnsi"/>
        </w:rPr>
        <w:t>certain</w:t>
      </w:r>
      <w:r w:rsidR="0034005B" w:rsidRPr="002F5FB7">
        <w:rPr>
          <w:rFonts w:asciiTheme="majorHAnsi" w:hAnsiTheme="majorHAnsi" w:cstheme="majorHAnsi"/>
        </w:rPr>
        <w:t xml:space="preserve"> </w:t>
      </w:r>
      <w:r w:rsidRPr="002F5FB7">
        <w:rPr>
          <w:rFonts w:asciiTheme="majorHAnsi" w:hAnsiTheme="majorHAnsi" w:cstheme="majorHAnsi"/>
        </w:rPr>
        <w:t xml:space="preserve">staff </w:t>
      </w:r>
      <w:r w:rsidR="00227D5B">
        <w:rPr>
          <w:rFonts w:asciiTheme="majorHAnsi" w:hAnsiTheme="majorHAnsi" w:cstheme="majorHAnsi"/>
        </w:rPr>
        <w:t>with effect from 1 February 2023</w:t>
      </w:r>
      <w:r w:rsidRPr="002F5FB7">
        <w:rPr>
          <w:rFonts w:asciiTheme="majorHAnsi" w:hAnsiTheme="majorHAnsi" w:cstheme="majorHAnsi"/>
        </w:rPr>
        <w:t xml:space="preserve"> in accordance with the </w:t>
      </w:r>
      <w:r w:rsidR="00BF4618">
        <w:rPr>
          <w:rFonts w:asciiTheme="majorHAnsi" w:hAnsiTheme="majorHAnsi" w:cstheme="majorHAnsi"/>
        </w:rPr>
        <w:t xml:space="preserve">Sectoral Bargaining Provisions of the </w:t>
      </w:r>
      <w:r w:rsidRPr="002F5FB7">
        <w:rPr>
          <w:rFonts w:asciiTheme="majorHAnsi" w:hAnsiTheme="majorHAnsi" w:cstheme="majorHAnsi"/>
        </w:rPr>
        <w:t xml:space="preserve">Public Service Agreement “Building Momentum” - A New Public Service Agreement 2021-2022”. </w:t>
      </w:r>
    </w:p>
    <w:p w14:paraId="07A86708" w14:textId="62856161" w:rsidR="00BF4618" w:rsidRDefault="00BF4618" w:rsidP="00DB7482">
      <w:pPr>
        <w:pStyle w:val="Default"/>
        <w:jc w:val="both"/>
        <w:rPr>
          <w:rFonts w:asciiTheme="majorHAnsi" w:hAnsiTheme="majorHAnsi" w:cstheme="majorHAnsi"/>
        </w:rPr>
      </w:pPr>
    </w:p>
    <w:p w14:paraId="31F5A2AA" w14:textId="76EA7F58" w:rsidR="00BF4618" w:rsidRDefault="00BF4618" w:rsidP="00DB7482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It has been agreed that the utilisation of the Sectoral Bargaining Fund for TUI grades will consist of two elements as follows:</w:t>
      </w:r>
    </w:p>
    <w:p w14:paraId="5E177C89" w14:textId="77777777" w:rsidR="00BF4618" w:rsidRDefault="00BF4618" w:rsidP="00DB7482">
      <w:pPr>
        <w:pStyle w:val="Default"/>
        <w:jc w:val="both"/>
        <w:rPr>
          <w:rFonts w:asciiTheme="majorHAnsi" w:hAnsiTheme="majorHAnsi" w:cstheme="majorHAnsi"/>
        </w:rPr>
      </w:pPr>
    </w:p>
    <w:p w14:paraId="1D2446E3" w14:textId="4C57C46E" w:rsidR="00BF4618" w:rsidRDefault="00BF4618" w:rsidP="00DB7482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proofErr w:type="spellStart"/>
      <w:r>
        <w:rPr>
          <w:rFonts w:asciiTheme="majorHAnsi" w:hAnsiTheme="majorHAnsi" w:cstheme="majorHAnsi"/>
        </w:rPr>
        <w:t>i</w:t>
      </w:r>
      <w:proofErr w:type="spellEnd"/>
      <w:r>
        <w:rPr>
          <w:rFonts w:asciiTheme="majorHAnsi" w:hAnsiTheme="majorHAnsi" w:cstheme="majorHAnsi"/>
        </w:rPr>
        <w:t xml:space="preserve">) the monies available </w:t>
      </w:r>
      <w:proofErr w:type="gramStart"/>
      <w:r>
        <w:rPr>
          <w:rFonts w:asciiTheme="majorHAnsi" w:hAnsiTheme="majorHAnsi" w:cstheme="majorHAnsi"/>
        </w:rPr>
        <w:t>at</w:t>
      </w:r>
      <w:proofErr w:type="gramEnd"/>
      <w:r>
        <w:rPr>
          <w:rFonts w:asciiTheme="majorHAnsi" w:hAnsiTheme="majorHAnsi" w:cstheme="majorHAnsi"/>
        </w:rPr>
        <w:t xml:space="preserve"> 1 February 2022 will be used to address the matter of incremental credit by means of a once-off non-pensionable lump sum payment in the manner described in the Agreement for the TUI Sectoral Bargaining Fund; and </w:t>
      </w:r>
    </w:p>
    <w:p w14:paraId="294FE12F" w14:textId="77777777" w:rsidR="00BF4618" w:rsidRDefault="00BF4618" w:rsidP="00DB7482">
      <w:pPr>
        <w:pStyle w:val="Default"/>
        <w:jc w:val="both"/>
        <w:rPr>
          <w:rFonts w:asciiTheme="majorHAnsi" w:hAnsiTheme="majorHAnsi" w:cstheme="majorHAnsi"/>
        </w:rPr>
      </w:pPr>
    </w:p>
    <w:p w14:paraId="52480682" w14:textId="2AE55AFE" w:rsidR="00BF4618" w:rsidRPr="002F5FB7" w:rsidRDefault="00BF4618" w:rsidP="00DB7482">
      <w:pPr>
        <w:pStyle w:val="Default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(ii) a 1% pay increase will be applied to the pay of certain grades represented by the TUI with effect from 1 February 2023.  </w:t>
      </w:r>
    </w:p>
    <w:p w14:paraId="3794A635" w14:textId="77777777" w:rsidR="00DB7482" w:rsidRPr="002F5FB7" w:rsidRDefault="00DB7482" w:rsidP="00DB7482">
      <w:pPr>
        <w:spacing w:line="240" w:lineRule="auto"/>
        <w:ind w:left="567" w:hanging="426"/>
        <w:contextualSpacing/>
        <w:jc w:val="both"/>
        <w:rPr>
          <w:rFonts w:asciiTheme="majorHAnsi" w:hAnsiTheme="majorHAnsi" w:cstheme="majorHAnsi"/>
          <w:sz w:val="24"/>
        </w:rPr>
      </w:pPr>
    </w:p>
    <w:p w14:paraId="4E833B12" w14:textId="77777777" w:rsidR="00DB7482" w:rsidRPr="00546E92" w:rsidRDefault="00DB7482" w:rsidP="00DB7482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546E92">
        <w:rPr>
          <w:rFonts w:cstheme="minorHAnsi"/>
          <w:b/>
        </w:rPr>
        <w:t>Application</w:t>
      </w:r>
    </w:p>
    <w:p w14:paraId="1B7E1229" w14:textId="77777777" w:rsidR="00DB7482" w:rsidRPr="00546E92" w:rsidRDefault="00DB7482" w:rsidP="00DB7482">
      <w:pPr>
        <w:pStyle w:val="ListParagraph"/>
        <w:spacing w:after="0"/>
        <w:rPr>
          <w:rFonts w:cstheme="minorHAnsi"/>
          <w:b/>
        </w:rPr>
      </w:pPr>
    </w:p>
    <w:p w14:paraId="4E8B6298" w14:textId="342D3B83" w:rsidR="00DB7482" w:rsidRPr="0061122B" w:rsidRDefault="00DB7482" w:rsidP="0061122B">
      <w:pPr>
        <w:spacing w:after="0"/>
        <w:jc w:val="both"/>
        <w:rPr>
          <w:rFonts w:cstheme="minorHAnsi"/>
          <w:b/>
        </w:rPr>
      </w:pPr>
      <w:r w:rsidRPr="0061122B">
        <w:rPr>
          <w:rFonts w:cstheme="minorHAnsi"/>
        </w:rPr>
        <w:t xml:space="preserve">The pay adjustments should be applied, as appropriate, from </w:t>
      </w:r>
      <w:r w:rsidR="00227D5B" w:rsidRPr="0061122B">
        <w:rPr>
          <w:rFonts w:cstheme="minorHAnsi"/>
          <w:b/>
        </w:rPr>
        <w:t>1 February 2023</w:t>
      </w:r>
      <w:r w:rsidR="0034005B" w:rsidRPr="0061122B">
        <w:rPr>
          <w:rFonts w:cstheme="minorHAnsi"/>
          <w:b/>
        </w:rPr>
        <w:t xml:space="preserve"> to those grades set out in Appendix 1</w:t>
      </w:r>
      <w:r w:rsidRPr="0061122B">
        <w:rPr>
          <w:rFonts w:cstheme="minorHAnsi"/>
        </w:rPr>
        <w:t>.</w:t>
      </w:r>
    </w:p>
    <w:p w14:paraId="545247CB" w14:textId="77777777" w:rsidR="00DB7482" w:rsidRDefault="00DB7482" w:rsidP="00DB7482">
      <w:pPr>
        <w:pStyle w:val="ListParagraph"/>
        <w:spacing w:after="0"/>
        <w:ind w:left="792"/>
        <w:rPr>
          <w:rFonts w:cstheme="minorHAnsi"/>
          <w:b/>
        </w:rPr>
      </w:pPr>
    </w:p>
    <w:p w14:paraId="73992A22" w14:textId="77777777" w:rsidR="00DB7482" w:rsidRPr="00546E92" w:rsidRDefault="00DB7482" w:rsidP="00DB7482">
      <w:pPr>
        <w:pStyle w:val="ListParagraph"/>
        <w:spacing w:after="0"/>
        <w:ind w:left="792"/>
        <w:rPr>
          <w:rFonts w:cstheme="minorHAnsi"/>
          <w:b/>
        </w:rPr>
      </w:pPr>
    </w:p>
    <w:p w14:paraId="55F25010" w14:textId="158B1BD7" w:rsidR="00DB7482" w:rsidRPr="00661165" w:rsidRDefault="00DB7482" w:rsidP="00661165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661165">
        <w:rPr>
          <w:rFonts w:cstheme="minorHAnsi"/>
          <w:b/>
        </w:rPr>
        <w:t>General</w:t>
      </w:r>
    </w:p>
    <w:p w14:paraId="24459C20" w14:textId="1D2A573B" w:rsidR="00DB7482" w:rsidRPr="004E3B7E" w:rsidRDefault="00DB7482" w:rsidP="00230C50">
      <w:pPr>
        <w:jc w:val="both"/>
        <w:rPr>
          <w:rFonts w:cstheme="minorHAnsi"/>
        </w:rPr>
      </w:pPr>
    </w:p>
    <w:p w14:paraId="61745FFC" w14:textId="3A6075E7" w:rsidR="004E3B7E" w:rsidRDefault="004E3B7E" w:rsidP="003F11ED">
      <w:pPr>
        <w:ind w:left="709" w:hanging="709"/>
        <w:jc w:val="both"/>
        <w:rPr>
          <w:color w:val="181717"/>
        </w:rPr>
      </w:pPr>
      <w:r>
        <w:rPr>
          <w:b/>
          <w:iCs/>
          <w:color w:val="181717"/>
        </w:rPr>
        <w:t>2</w:t>
      </w:r>
      <w:r w:rsidR="00230C50">
        <w:rPr>
          <w:b/>
          <w:iCs/>
          <w:color w:val="181717"/>
        </w:rPr>
        <w:t>.1.</w:t>
      </w:r>
      <w:r>
        <w:rPr>
          <w:b/>
          <w:iCs/>
          <w:color w:val="181717"/>
        </w:rPr>
        <w:tab/>
      </w:r>
      <w:r w:rsidRPr="00546E92">
        <w:rPr>
          <w:rFonts w:cstheme="minorHAnsi"/>
        </w:rPr>
        <w:t xml:space="preserve">This </w:t>
      </w:r>
      <w:r w:rsidRPr="004E3B7E">
        <w:rPr>
          <w:rFonts w:cstheme="minorHAnsi"/>
          <w:u w:val="single"/>
        </w:rPr>
        <w:t>circular specifically applies</w:t>
      </w:r>
      <w:r>
        <w:rPr>
          <w:rFonts w:cstheme="minorHAnsi"/>
        </w:rPr>
        <w:t xml:space="preserve"> to TUI Grades within the HEI sector who opted to use the Sectoral Bargaining Fund </w:t>
      </w:r>
      <w:r w:rsidRPr="00546E92">
        <w:rPr>
          <w:rFonts w:cstheme="minorHAnsi"/>
        </w:rPr>
        <w:t xml:space="preserve">as provided for </w:t>
      </w:r>
      <w:r>
        <w:rPr>
          <w:rFonts w:cstheme="minorHAnsi"/>
        </w:rPr>
        <w:t xml:space="preserve">under the Sectoral Bargaining provisions of </w:t>
      </w:r>
      <w:r w:rsidRPr="00546E92">
        <w:rPr>
          <w:rFonts w:cstheme="minorHAnsi"/>
        </w:rPr>
        <w:t>“Building Momentum – A New Public Service Agreement 2021-2022”</w:t>
      </w:r>
      <w:r>
        <w:rPr>
          <w:rFonts w:cstheme="minorHAnsi"/>
        </w:rPr>
        <w:t xml:space="preserve"> (‘the Agreement’)</w:t>
      </w:r>
      <w:r w:rsidR="00BF5756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714EABCF" w14:textId="77777777" w:rsidR="003F11ED" w:rsidRDefault="003F11ED" w:rsidP="003F11ED">
      <w:pPr>
        <w:ind w:left="709" w:hanging="709"/>
        <w:jc w:val="both"/>
        <w:rPr>
          <w:color w:val="181717"/>
        </w:rPr>
      </w:pPr>
    </w:p>
    <w:p w14:paraId="532D1681" w14:textId="1F34CC4B" w:rsidR="006B139F" w:rsidRDefault="00230C50" w:rsidP="00B80987">
      <w:pPr>
        <w:ind w:left="709" w:hanging="709"/>
        <w:jc w:val="both"/>
        <w:rPr>
          <w:rFonts w:ascii="Arial" w:hAnsi="Arial" w:cs="Arial"/>
        </w:rPr>
      </w:pPr>
      <w:r>
        <w:rPr>
          <w:b/>
          <w:color w:val="181717"/>
        </w:rPr>
        <w:t>2.2.</w:t>
      </w:r>
      <w:r w:rsidR="004D4703">
        <w:rPr>
          <w:color w:val="181717"/>
        </w:rPr>
        <w:t xml:space="preserve">  </w:t>
      </w:r>
      <w:r w:rsidR="004D4703">
        <w:rPr>
          <w:color w:val="181717"/>
        </w:rPr>
        <w:tab/>
      </w:r>
      <w:r w:rsidR="006B139F" w:rsidRPr="00197CF8">
        <w:rPr>
          <w:rFonts w:ascii="Arial" w:hAnsi="Arial" w:cs="Arial"/>
        </w:rPr>
        <w:t xml:space="preserve">This </w:t>
      </w:r>
      <w:r w:rsidR="004D4703">
        <w:rPr>
          <w:rFonts w:ascii="Arial" w:hAnsi="Arial" w:cs="Arial"/>
        </w:rPr>
        <w:t xml:space="preserve">circular </w:t>
      </w:r>
      <w:r w:rsidR="004D4703" w:rsidRPr="00CC4998">
        <w:rPr>
          <w:rFonts w:ascii="Arial" w:hAnsi="Arial" w:cs="Arial"/>
          <w:u w:val="single"/>
        </w:rPr>
        <w:t>does not</w:t>
      </w:r>
      <w:r w:rsidR="004E3B7E" w:rsidRPr="00CC4998">
        <w:rPr>
          <w:rFonts w:ascii="Arial" w:hAnsi="Arial" w:cs="Arial"/>
          <w:u w:val="single"/>
        </w:rPr>
        <w:t xml:space="preserve"> apply</w:t>
      </w:r>
      <w:r w:rsidR="004E3B7E">
        <w:rPr>
          <w:rFonts w:ascii="Arial" w:hAnsi="Arial" w:cs="Arial"/>
        </w:rPr>
        <w:t xml:space="preserve"> to any grade</w:t>
      </w:r>
      <w:r w:rsidR="006B139F" w:rsidRPr="00197CF8">
        <w:rPr>
          <w:rFonts w:ascii="Arial" w:hAnsi="Arial" w:cs="Arial"/>
        </w:rPr>
        <w:t xml:space="preserve"> </w:t>
      </w:r>
      <w:r w:rsidR="00B13EA9">
        <w:rPr>
          <w:rFonts w:ascii="Arial" w:hAnsi="Arial" w:cs="Arial"/>
        </w:rPr>
        <w:t>that</w:t>
      </w:r>
      <w:r w:rsidR="006B139F" w:rsidRPr="00197CF8">
        <w:rPr>
          <w:rFonts w:ascii="Arial" w:hAnsi="Arial" w:cs="Arial"/>
        </w:rPr>
        <w:t xml:space="preserve"> </w:t>
      </w:r>
      <w:r w:rsidR="004D4703">
        <w:rPr>
          <w:rFonts w:ascii="Arial" w:hAnsi="Arial" w:cs="Arial"/>
        </w:rPr>
        <w:t xml:space="preserve">received </w:t>
      </w:r>
      <w:r w:rsidR="003B7178">
        <w:rPr>
          <w:rFonts w:ascii="Arial" w:hAnsi="Arial" w:cs="Arial"/>
        </w:rPr>
        <w:t xml:space="preserve">the </w:t>
      </w:r>
      <w:r w:rsidR="004D4703">
        <w:rPr>
          <w:rFonts w:ascii="Arial" w:hAnsi="Arial" w:cs="Arial"/>
        </w:rPr>
        <w:t xml:space="preserve">1% </w:t>
      </w:r>
      <w:r w:rsidR="003B7178">
        <w:rPr>
          <w:rFonts w:ascii="Arial" w:hAnsi="Arial" w:cs="Arial"/>
        </w:rPr>
        <w:t xml:space="preserve">pay </w:t>
      </w:r>
      <w:r w:rsidR="004D4703">
        <w:rPr>
          <w:rFonts w:ascii="Arial" w:hAnsi="Arial" w:cs="Arial"/>
        </w:rPr>
        <w:t xml:space="preserve">increase </w:t>
      </w:r>
      <w:r w:rsidR="003B7178">
        <w:rPr>
          <w:rFonts w:ascii="Arial" w:hAnsi="Arial" w:cs="Arial"/>
        </w:rPr>
        <w:t xml:space="preserve">under the Sectoral Bargaining provisions of Building Momentum </w:t>
      </w:r>
      <w:r w:rsidR="004D4703">
        <w:rPr>
          <w:rFonts w:ascii="Arial" w:hAnsi="Arial" w:cs="Arial"/>
        </w:rPr>
        <w:t xml:space="preserve">as per Department </w:t>
      </w:r>
      <w:r w:rsidR="00030B04">
        <w:rPr>
          <w:rFonts w:ascii="Arial" w:hAnsi="Arial" w:cs="Arial"/>
        </w:rPr>
        <w:t>of</w:t>
      </w:r>
      <w:r w:rsidR="00CC4998">
        <w:rPr>
          <w:rFonts w:ascii="Arial" w:hAnsi="Arial" w:cs="Arial"/>
        </w:rPr>
        <w:t xml:space="preserve"> Further and Higher Education, Innovation and Science</w:t>
      </w:r>
      <w:r w:rsidR="00030B04">
        <w:rPr>
          <w:rFonts w:ascii="Arial" w:hAnsi="Arial" w:cs="Arial"/>
        </w:rPr>
        <w:t xml:space="preserve"> </w:t>
      </w:r>
      <w:r w:rsidR="004D4703">
        <w:rPr>
          <w:rFonts w:ascii="Arial" w:hAnsi="Arial" w:cs="Arial"/>
        </w:rPr>
        <w:t>Circular 001/2022</w:t>
      </w:r>
      <w:r w:rsidR="00B13EA9">
        <w:rPr>
          <w:rFonts w:ascii="Arial" w:hAnsi="Arial" w:cs="Arial"/>
        </w:rPr>
        <w:t xml:space="preserve"> on 1</w:t>
      </w:r>
      <w:r w:rsidR="00B13EA9" w:rsidRPr="00B13EA9">
        <w:rPr>
          <w:rFonts w:ascii="Arial" w:hAnsi="Arial" w:cs="Arial"/>
          <w:vertAlign w:val="superscript"/>
        </w:rPr>
        <w:t>st</w:t>
      </w:r>
      <w:r w:rsidR="00B13EA9">
        <w:rPr>
          <w:rFonts w:ascii="Arial" w:hAnsi="Arial" w:cs="Arial"/>
        </w:rPr>
        <w:t xml:space="preserve"> of February 2022</w:t>
      </w:r>
      <w:r w:rsidR="004D4703">
        <w:rPr>
          <w:rFonts w:ascii="Arial" w:hAnsi="Arial" w:cs="Arial"/>
        </w:rPr>
        <w:t xml:space="preserve">.  </w:t>
      </w:r>
    </w:p>
    <w:p w14:paraId="07FAAFF6" w14:textId="77777777" w:rsidR="00197CF8" w:rsidRPr="006B139F" w:rsidRDefault="00197CF8" w:rsidP="006B139F">
      <w:pPr>
        <w:ind w:left="709" w:hanging="709"/>
        <w:jc w:val="both"/>
        <w:rPr>
          <w:rFonts w:ascii="Arial" w:hAnsi="Arial" w:cs="Arial"/>
        </w:rPr>
      </w:pPr>
    </w:p>
    <w:p w14:paraId="6370B8C3" w14:textId="476BAF4C" w:rsidR="006B139F" w:rsidRPr="00B14A5D" w:rsidRDefault="00DB7482" w:rsidP="006B139F">
      <w:pPr>
        <w:ind w:left="709" w:hanging="709"/>
        <w:jc w:val="both"/>
        <w:rPr>
          <w:rFonts w:ascii="Arial" w:hAnsi="Arial" w:cs="Arial"/>
          <w:b/>
        </w:rPr>
      </w:pPr>
      <w:r w:rsidRPr="00546E92">
        <w:rPr>
          <w:rFonts w:cstheme="minorHAnsi"/>
        </w:rPr>
        <w:t xml:space="preserve"> </w:t>
      </w:r>
      <w:r w:rsidR="00230C50">
        <w:rPr>
          <w:b/>
        </w:rPr>
        <w:t>2.3.</w:t>
      </w:r>
      <w:r w:rsidR="00C569AC">
        <w:t xml:space="preserve">   </w:t>
      </w:r>
      <w:r w:rsidRPr="002F5FB7">
        <w:t>The adjustments should be rounded to the n</w:t>
      </w:r>
      <w:r w:rsidR="00C569AC">
        <w:t xml:space="preserve">earest euro on annual </w:t>
      </w:r>
      <w:proofErr w:type="spellStart"/>
      <w:r w:rsidR="00C569AC">
        <w:t>payscales</w:t>
      </w:r>
      <w:proofErr w:type="spellEnd"/>
      <w:r>
        <w:t xml:space="preserve"> </w:t>
      </w:r>
      <w:r w:rsidRPr="002F5FB7">
        <w:t xml:space="preserve">and to the nearest cent on weekly </w:t>
      </w:r>
      <w:proofErr w:type="spellStart"/>
      <w:r w:rsidRPr="002F5FB7">
        <w:t>payscales</w:t>
      </w:r>
      <w:proofErr w:type="spellEnd"/>
      <w:r w:rsidRPr="002F5FB7">
        <w:t>. Hourly rates should be rounded to the nearest €0.001.</w:t>
      </w:r>
      <w:r w:rsidR="006B139F">
        <w:t xml:space="preserve"> </w:t>
      </w:r>
      <w:r w:rsidR="006B139F" w:rsidRPr="00B14A5D">
        <w:rPr>
          <w:rFonts w:ascii="Arial" w:hAnsi="Arial" w:cs="Arial"/>
        </w:rPr>
        <w:t xml:space="preserve">For the avoidance of doubt, Higher Education Institutions (HEIs) should be </w:t>
      </w:r>
      <w:r w:rsidR="006B139F" w:rsidRPr="00B14A5D">
        <w:rPr>
          <w:rFonts w:ascii="Arial" w:hAnsi="Arial" w:cs="Arial"/>
        </w:rPr>
        <w:lastRenderedPageBreak/>
        <w:t>clear that under Building Mom</w:t>
      </w:r>
      <w:r w:rsidR="00492B65">
        <w:rPr>
          <w:rFonts w:ascii="Arial" w:hAnsi="Arial" w:cs="Arial"/>
        </w:rPr>
        <w:t>entum the revised pay rates apply to those staff set out in Appendix 1 only,</w:t>
      </w:r>
      <w:r w:rsidR="006B139F" w:rsidRPr="00B14A5D">
        <w:rPr>
          <w:rFonts w:ascii="Arial" w:hAnsi="Arial" w:cs="Arial"/>
        </w:rPr>
        <w:t xml:space="preserve"> including hourly-paid staff.  </w:t>
      </w:r>
    </w:p>
    <w:p w14:paraId="1D8348B3" w14:textId="3DA44ED3" w:rsidR="00DB7482" w:rsidRPr="002F5FB7" w:rsidRDefault="00DB7482" w:rsidP="00DB7482">
      <w:pPr>
        <w:pStyle w:val="ListParagraph"/>
        <w:tabs>
          <w:tab w:val="left" w:pos="709"/>
        </w:tabs>
        <w:ind w:left="709" w:hanging="709"/>
        <w:jc w:val="both"/>
        <w:rPr>
          <w:b/>
        </w:rPr>
      </w:pPr>
    </w:p>
    <w:p w14:paraId="5088C308" w14:textId="77777777" w:rsidR="00DB7482" w:rsidRPr="00546E92" w:rsidRDefault="00DB7482" w:rsidP="00DB7482">
      <w:pPr>
        <w:pStyle w:val="ListParagraph"/>
        <w:spacing w:after="0"/>
        <w:ind w:left="792"/>
        <w:rPr>
          <w:rFonts w:cstheme="minorHAnsi"/>
          <w:b/>
        </w:rPr>
      </w:pPr>
    </w:p>
    <w:p w14:paraId="29AEF91A" w14:textId="5463DB40" w:rsidR="00DB7482" w:rsidRPr="002F5FB7" w:rsidRDefault="0061122B" w:rsidP="00DB7482">
      <w:pPr>
        <w:spacing w:after="0"/>
        <w:ind w:left="709" w:hanging="709"/>
        <w:jc w:val="both"/>
        <w:rPr>
          <w:rFonts w:cstheme="minorHAnsi"/>
          <w:color w:val="FF0000"/>
        </w:rPr>
      </w:pPr>
      <w:r>
        <w:rPr>
          <w:rFonts w:cstheme="minorHAnsi"/>
          <w:b/>
        </w:rPr>
        <w:t>2.4.</w:t>
      </w:r>
      <w:r w:rsidR="00DB7482">
        <w:rPr>
          <w:rFonts w:cstheme="minorHAnsi"/>
        </w:rPr>
        <w:t xml:space="preserve">     </w:t>
      </w:r>
      <w:r w:rsidR="00DB7482" w:rsidRPr="002F5FB7">
        <w:rPr>
          <w:rFonts w:cstheme="minorHAnsi"/>
        </w:rPr>
        <w:t>This circular also sets out arrangements in respect of the Additional Superannuation Contribution (ASC)</w:t>
      </w:r>
      <w:r w:rsidR="00DB7482" w:rsidRPr="002F5FB7">
        <w:rPr>
          <w:rFonts w:cstheme="minorHAnsi"/>
          <w:b/>
        </w:rPr>
        <w:t xml:space="preserve"> </w:t>
      </w:r>
      <w:r w:rsidR="00030B04">
        <w:rPr>
          <w:rFonts w:cstheme="minorHAnsi"/>
        </w:rPr>
        <w:t>for the year 2023</w:t>
      </w:r>
      <w:r w:rsidR="00DB7482" w:rsidRPr="002F5FB7">
        <w:rPr>
          <w:rFonts w:cstheme="minorHAnsi"/>
        </w:rPr>
        <w:t>.</w:t>
      </w:r>
    </w:p>
    <w:p w14:paraId="44845029" w14:textId="18ED73DE" w:rsidR="00DB7482" w:rsidRPr="00030B04" w:rsidRDefault="00DB7482" w:rsidP="00030B04">
      <w:pPr>
        <w:spacing w:after="0"/>
        <w:jc w:val="both"/>
        <w:rPr>
          <w:rFonts w:cstheme="minorHAnsi"/>
          <w:b/>
          <w:bCs/>
        </w:rPr>
      </w:pPr>
    </w:p>
    <w:p w14:paraId="6574595A" w14:textId="77777777" w:rsidR="00DB7482" w:rsidRPr="00546E92" w:rsidRDefault="00DB7482" w:rsidP="00DB7482">
      <w:pPr>
        <w:pStyle w:val="ListParagraph"/>
        <w:spacing w:after="0"/>
        <w:rPr>
          <w:rFonts w:cstheme="minorHAnsi"/>
        </w:rPr>
      </w:pPr>
    </w:p>
    <w:p w14:paraId="3B94C89B" w14:textId="77777777" w:rsidR="00DB7482" w:rsidRPr="00546E92" w:rsidRDefault="00DB7482" w:rsidP="00661165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546E92">
        <w:rPr>
          <w:rFonts w:cstheme="minorHAnsi"/>
          <w:b/>
          <w:bCs/>
        </w:rPr>
        <w:t>Pensions</w:t>
      </w:r>
    </w:p>
    <w:p w14:paraId="55E0C643" w14:textId="77777777" w:rsidR="00DB7482" w:rsidRPr="00546E92" w:rsidRDefault="00DB7482" w:rsidP="00DB7482">
      <w:pPr>
        <w:pStyle w:val="ListParagraph"/>
        <w:spacing w:after="0"/>
        <w:ind w:left="360"/>
        <w:rPr>
          <w:rFonts w:cstheme="minorHAnsi"/>
        </w:rPr>
      </w:pPr>
    </w:p>
    <w:p w14:paraId="2B22DE05" w14:textId="3C601053" w:rsidR="00DB7482" w:rsidRPr="0095349D" w:rsidRDefault="00DB7482" w:rsidP="00661165">
      <w:pPr>
        <w:pStyle w:val="ListParagraph"/>
        <w:numPr>
          <w:ilvl w:val="1"/>
          <w:numId w:val="2"/>
        </w:numPr>
        <w:spacing w:after="0"/>
        <w:ind w:left="709" w:hanging="709"/>
        <w:jc w:val="both"/>
        <w:rPr>
          <w:rFonts w:cstheme="minorHAnsi"/>
        </w:rPr>
      </w:pPr>
      <w:r w:rsidRPr="003045FE">
        <w:t xml:space="preserve">For guidance on increasing pensions in payment </w:t>
      </w:r>
      <w:proofErr w:type="gramStart"/>
      <w:r w:rsidRPr="003045FE">
        <w:t>as a result of</w:t>
      </w:r>
      <w:proofErr w:type="gramEnd"/>
      <w:r w:rsidRPr="003045FE">
        <w:t xml:space="preserve"> the pay adjustments due on 1st </w:t>
      </w:r>
      <w:r w:rsidR="00030B04">
        <w:t>February 2023</w:t>
      </w:r>
      <w:r w:rsidRPr="003045FE">
        <w:t>, please refer to Pa</w:t>
      </w:r>
      <w:r w:rsidR="00B849F8">
        <w:t>rt 4 of DPER Circular 10/2021.</w:t>
      </w:r>
    </w:p>
    <w:p w14:paraId="73AC2BF2" w14:textId="77777777" w:rsidR="00DB7482" w:rsidRDefault="00DB7482" w:rsidP="00DB7482">
      <w:pPr>
        <w:pStyle w:val="ListParagraph"/>
        <w:spacing w:after="0"/>
        <w:ind w:left="709"/>
        <w:jc w:val="both"/>
        <w:rPr>
          <w:rFonts w:cstheme="minorHAnsi"/>
        </w:rPr>
      </w:pPr>
    </w:p>
    <w:p w14:paraId="2F1EE3B8" w14:textId="6A2FFA88" w:rsidR="00DB7482" w:rsidRPr="00661165" w:rsidRDefault="00DB7482" w:rsidP="00661165">
      <w:pPr>
        <w:pStyle w:val="ListParagraph"/>
        <w:numPr>
          <w:ilvl w:val="1"/>
          <w:numId w:val="2"/>
        </w:numPr>
        <w:spacing w:line="252" w:lineRule="auto"/>
        <w:jc w:val="both"/>
        <w:rPr>
          <w:rFonts w:cstheme="minorHAnsi"/>
        </w:rPr>
      </w:pPr>
      <w:r w:rsidRPr="00661165">
        <w:rPr>
          <w:rFonts w:cstheme="minorHAnsi"/>
        </w:rPr>
        <w:t xml:space="preserve">Additional Superannuation Contributions: </w:t>
      </w:r>
      <w:r w:rsidR="00030B04" w:rsidRPr="00661165">
        <w:rPr>
          <w:rFonts w:cstheme="minorHAnsi"/>
        </w:rPr>
        <w:t>The ASC rates for 2023</w:t>
      </w:r>
      <w:r w:rsidRPr="00661165">
        <w:rPr>
          <w:rFonts w:cstheme="minorHAnsi"/>
        </w:rPr>
        <w:t xml:space="preserve"> are unchanged.  Below are the current rates of ASC.</w:t>
      </w:r>
    </w:p>
    <w:p w14:paraId="4F12C69C" w14:textId="77777777" w:rsidR="00DB7482" w:rsidRPr="00B53803" w:rsidRDefault="00DB7482" w:rsidP="00DB7482">
      <w:pPr>
        <w:pStyle w:val="ListParagraph"/>
        <w:autoSpaceDE w:val="0"/>
        <w:autoSpaceDN w:val="0"/>
        <w:spacing w:after="0"/>
        <w:ind w:left="709"/>
        <w:jc w:val="both"/>
        <w:rPr>
          <w:rFonts w:cstheme="minorHAnsi"/>
          <w:b/>
          <w:bCs/>
        </w:rPr>
      </w:pPr>
    </w:p>
    <w:p w14:paraId="059A06B4" w14:textId="697D1A66" w:rsidR="00DB7482" w:rsidRPr="00546E92" w:rsidRDefault="00030B04" w:rsidP="00DB7482">
      <w:pPr>
        <w:autoSpaceDE w:val="0"/>
        <w:autoSpaceDN w:val="0"/>
        <w:ind w:left="709" w:hanging="709"/>
        <w:rPr>
          <w:rFonts w:cstheme="minorHAnsi"/>
          <w:b/>
          <w:bCs/>
        </w:rPr>
      </w:pPr>
      <w:r>
        <w:rPr>
          <w:rFonts w:cstheme="minorHAnsi"/>
          <w:b/>
          <w:bCs/>
        </w:rPr>
        <w:t>Thresholds/Rates in 2022 applied to those in receipt of this payment for 2023.</w:t>
      </w:r>
    </w:p>
    <w:p w14:paraId="00FFD759" w14:textId="77777777" w:rsidR="00DB7482" w:rsidRPr="00546E92" w:rsidRDefault="00DB7482" w:rsidP="00DB7482">
      <w:pPr>
        <w:autoSpaceDE w:val="0"/>
        <w:autoSpaceDN w:val="0"/>
        <w:ind w:left="709" w:hanging="709"/>
        <w:rPr>
          <w:rFonts w:cstheme="minorHAnsi"/>
          <w:b/>
        </w:rPr>
      </w:pPr>
    </w:p>
    <w:tbl>
      <w:tblPr>
        <w:tblW w:w="8363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7"/>
        <w:gridCol w:w="2788"/>
        <w:gridCol w:w="2788"/>
      </w:tblGrid>
      <w:tr w:rsidR="00DB7482" w:rsidRPr="00546E92" w14:paraId="473871AE" w14:textId="77777777" w:rsidTr="006B139F">
        <w:trPr>
          <w:trHeight w:val="909"/>
        </w:trPr>
        <w:tc>
          <w:tcPr>
            <w:tcW w:w="27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52E65" w14:textId="77777777" w:rsidR="00DB7482" w:rsidRPr="00546E92" w:rsidRDefault="00DB7482" w:rsidP="006B139F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546E92">
              <w:rPr>
                <w:rFonts w:cstheme="minorHAnsi"/>
                <w:b/>
                <w:bCs/>
              </w:rPr>
              <w:t>Member of a standard accrual pension scheme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1DA51" w14:textId="77777777" w:rsidR="00DB7482" w:rsidRPr="00546E92" w:rsidRDefault="00DB7482" w:rsidP="006B139F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546E92">
              <w:rPr>
                <w:rFonts w:cstheme="minorHAnsi"/>
                <w:b/>
                <w:bCs/>
              </w:rPr>
              <w:t>Member of a fast accrual pension scheme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143F1" w14:textId="77777777" w:rsidR="00DB7482" w:rsidRPr="00546E92" w:rsidRDefault="00DB7482" w:rsidP="006B139F">
            <w:pPr>
              <w:autoSpaceDE w:val="0"/>
              <w:autoSpaceDN w:val="0"/>
              <w:rPr>
                <w:rFonts w:cstheme="minorHAnsi"/>
                <w:b/>
                <w:bCs/>
              </w:rPr>
            </w:pPr>
            <w:r w:rsidRPr="00546E92">
              <w:rPr>
                <w:rFonts w:cstheme="minorHAnsi"/>
                <w:b/>
                <w:bCs/>
              </w:rPr>
              <w:t>Member of the Single Scheme</w:t>
            </w:r>
          </w:p>
        </w:tc>
      </w:tr>
      <w:tr w:rsidR="00DB7482" w:rsidRPr="00546E92" w14:paraId="03DB698C" w14:textId="77777777" w:rsidTr="006B139F">
        <w:trPr>
          <w:trHeight w:val="509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073C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€0 - €34,500 @ 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87FA3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€0 - €28,750 @ 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546D6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€0 - €34,500 @ 0%</w:t>
            </w:r>
          </w:p>
        </w:tc>
      </w:tr>
      <w:tr w:rsidR="00DB7482" w:rsidRPr="00546E92" w14:paraId="006695F1" w14:textId="77777777" w:rsidTr="006B139F">
        <w:trPr>
          <w:trHeight w:val="501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CBF42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&gt;€34,500 – €60,000 @ 10%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FE93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&gt;€28,750 – €60,000 @ 10%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01EB3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&gt;€34,500 – €60,000 @ 3.33%</w:t>
            </w:r>
          </w:p>
        </w:tc>
      </w:tr>
      <w:tr w:rsidR="00DB7482" w:rsidRPr="00546E92" w14:paraId="65D3ED50" w14:textId="77777777" w:rsidTr="006B139F">
        <w:trPr>
          <w:trHeight w:val="509"/>
        </w:trPr>
        <w:tc>
          <w:tcPr>
            <w:tcW w:w="27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FB04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&gt;€60,000 @ 10.5%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B8B2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&gt;€60,000 @ 10.5%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E70A2" w14:textId="77777777" w:rsidR="00DB7482" w:rsidRPr="00546E92" w:rsidRDefault="00DB7482" w:rsidP="006B139F">
            <w:pPr>
              <w:pStyle w:val="NoSpacing"/>
              <w:spacing w:line="259" w:lineRule="auto"/>
              <w:ind w:left="709" w:hanging="709"/>
              <w:rPr>
                <w:rFonts w:cstheme="minorHAnsi"/>
              </w:rPr>
            </w:pPr>
            <w:r w:rsidRPr="00546E92">
              <w:rPr>
                <w:rFonts w:cstheme="minorHAnsi"/>
              </w:rPr>
              <w:t>&gt;€60,000 @ 3.5%</w:t>
            </w:r>
          </w:p>
        </w:tc>
      </w:tr>
    </w:tbl>
    <w:p w14:paraId="0E43F6A6" w14:textId="74E7B489" w:rsidR="00DB7482" w:rsidRDefault="00DB7482" w:rsidP="00DB7482">
      <w:pPr>
        <w:autoSpaceDE w:val="0"/>
        <w:autoSpaceDN w:val="0"/>
        <w:adjustRightInd w:val="0"/>
        <w:ind w:left="567"/>
        <w:rPr>
          <w:rFonts w:cstheme="minorHAnsi"/>
          <w:b/>
        </w:rPr>
      </w:pPr>
      <w:r w:rsidRPr="00546E92">
        <w:rPr>
          <w:rFonts w:cstheme="minorHAnsi"/>
          <w:b/>
        </w:rPr>
        <w:t xml:space="preserve">   </w:t>
      </w:r>
    </w:p>
    <w:p w14:paraId="7663AE67" w14:textId="77777777" w:rsidR="00DB7482" w:rsidRPr="00546E92" w:rsidRDefault="00DB7482" w:rsidP="00661165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r w:rsidRPr="00546E92">
        <w:rPr>
          <w:rFonts w:cstheme="minorHAnsi"/>
          <w:b/>
        </w:rPr>
        <w:t>Overtime</w:t>
      </w:r>
    </w:p>
    <w:p w14:paraId="6926955C" w14:textId="77777777" w:rsidR="00DB7482" w:rsidRPr="00546E92" w:rsidRDefault="00DB7482" w:rsidP="00DB7482">
      <w:pPr>
        <w:pStyle w:val="ListParagraph"/>
        <w:spacing w:after="0"/>
        <w:ind w:left="360"/>
        <w:rPr>
          <w:rFonts w:cstheme="minorHAnsi"/>
          <w:b/>
        </w:rPr>
      </w:pPr>
    </w:p>
    <w:p w14:paraId="083CD2A7" w14:textId="3E7BE547" w:rsidR="00DB7482" w:rsidRPr="00A22ACB" w:rsidRDefault="00DB7482" w:rsidP="00A22ACB">
      <w:pPr>
        <w:spacing w:after="0"/>
        <w:jc w:val="both"/>
        <w:rPr>
          <w:rFonts w:cstheme="minorHAnsi"/>
          <w:b/>
        </w:rPr>
      </w:pPr>
      <w:r w:rsidRPr="00A22ACB">
        <w:rPr>
          <w:rFonts w:cstheme="minorHAnsi"/>
        </w:rPr>
        <w:t xml:space="preserve">Payment in respect of overtime rendered on or </w:t>
      </w:r>
      <w:proofErr w:type="gramStart"/>
      <w:r w:rsidRPr="00A22ACB">
        <w:rPr>
          <w:rFonts w:cstheme="minorHAnsi"/>
        </w:rPr>
        <w:t>subsequent to</w:t>
      </w:r>
      <w:proofErr w:type="gramEnd"/>
      <w:r w:rsidRPr="00A22ACB">
        <w:rPr>
          <w:rFonts w:cstheme="minorHAnsi"/>
        </w:rPr>
        <w:t xml:space="preserve"> </w:t>
      </w:r>
      <w:r w:rsidR="00030B04" w:rsidRPr="00A22ACB">
        <w:rPr>
          <w:rFonts w:cstheme="minorHAnsi"/>
          <w:b/>
        </w:rPr>
        <w:t>1 February 2023</w:t>
      </w:r>
      <w:r w:rsidRPr="00A22ACB">
        <w:rPr>
          <w:rFonts w:cstheme="minorHAnsi"/>
        </w:rPr>
        <w:t xml:space="preserve"> by members of </w:t>
      </w:r>
      <w:r w:rsidRPr="00A22ACB">
        <w:rPr>
          <w:rFonts w:cstheme="minorHAnsi"/>
          <w:b/>
        </w:rPr>
        <w:t>grades to which this circular applies</w:t>
      </w:r>
      <w:r w:rsidRPr="00A22ACB">
        <w:rPr>
          <w:rFonts w:cstheme="minorHAnsi"/>
        </w:rPr>
        <w:t xml:space="preserve"> should be calculated by reference to the revised pay rates with effect from </w:t>
      </w:r>
      <w:r w:rsidR="00030B04" w:rsidRPr="00A22ACB">
        <w:rPr>
          <w:rFonts w:cstheme="minorHAnsi"/>
          <w:b/>
        </w:rPr>
        <w:t>1 February 2023</w:t>
      </w:r>
      <w:r w:rsidRPr="00A22ACB">
        <w:rPr>
          <w:rFonts w:cstheme="minorHAnsi"/>
        </w:rPr>
        <w:t>.</w:t>
      </w:r>
    </w:p>
    <w:p w14:paraId="2069F72F" w14:textId="77777777" w:rsidR="00DB7482" w:rsidRDefault="00DB7482" w:rsidP="00DB7482">
      <w:pPr>
        <w:pStyle w:val="ListParagraph"/>
        <w:spacing w:after="0"/>
        <w:ind w:left="792"/>
        <w:jc w:val="both"/>
        <w:rPr>
          <w:rFonts w:cstheme="minorHAnsi"/>
          <w:b/>
        </w:rPr>
      </w:pPr>
    </w:p>
    <w:p w14:paraId="1C3C877D" w14:textId="77777777" w:rsidR="00DB7482" w:rsidRPr="00546E92" w:rsidRDefault="00DB7482" w:rsidP="00DB7482">
      <w:pPr>
        <w:pStyle w:val="ListParagraph"/>
        <w:spacing w:after="0"/>
        <w:ind w:left="792"/>
        <w:rPr>
          <w:rFonts w:cstheme="minorHAnsi"/>
          <w:b/>
        </w:rPr>
      </w:pPr>
    </w:p>
    <w:p w14:paraId="59268FD7" w14:textId="361975C5" w:rsidR="00DB7482" w:rsidRPr="00A22ACB" w:rsidRDefault="00DB7482" w:rsidP="00A22ACB">
      <w:pPr>
        <w:pStyle w:val="ListParagraph"/>
        <w:numPr>
          <w:ilvl w:val="0"/>
          <w:numId w:val="3"/>
        </w:numPr>
        <w:spacing w:after="0"/>
        <w:rPr>
          <w:rFonts w:cstheme="minorHAnsi"/>
          <w:b/>
        </w:rPr>
      </w:pPr>
      <w:r w:rsidRPr="00A22ACB">
        <w:rPr>
          <w:rFonts w:cstheme="minorHAnsi"/>
          <w:b/>
        </w:rPr>
        <w:t xml:space="preserve">Premium Rates of Pay </w:t>
      </w:r>
    </w:p>
    <w:p w14:paraId="3769053F" w14:textId="77777777" w:rsidR="00DB7482" w:rsidRPr="00546E92" w:rsidRDefault="00DB7482" w:rsidP="00DB7482">
      <w:pPr>
        <w:pStyle w:val="ListParagraph"/>
        <w:spacing w:after="0"/>
        <w:ind w:left="360"/>
        <w:rPr>
          <w:rFonts w:cstheme="minorHAnsi"/>
          <w:b/>
        </w:rPr>
      </w:pPr>
    </w:p>
    <w:p w14:paraId="7E97C84F" w14:textId="6178B683" w:rsidR="00DB7482" w:rsidRPr="00D52180" w:rsidRDefault="00DB7482" w:rsidP="00D52180">
      <w:pPr>
        <w:spacing w:after="0"/>
        <w:jc w:val="both"/>
        <w:rPr>
          <w:rFonts w:cstheme="minorHAnsi"/>
          <w:color w:val="1F497D"/>
        </w:rPr>
      </w:pPr>
      <w:r w:rsidRPr="00A22ACB">
        <w:rPr>
          <w:rFonts w:cstheme="minorHAnsi"/>
        </w:rPr>
        <w:t xml:space="preserve">Premium rates of pay payable in respect of or </w:t>
      </w:r>
      <w:proofErr w:type="gramStart"/>
      <w:r w:rsidRPr="00A22ACB">
        <w:rPr>
          <w:rFonts w:cstheme="minorHAnsi"/>
        </w:rPr>
        <w:t>subsequent to</w:t>
      </w:r>
      <w:proofErr w:type="gramEnd"/>
      <w:r w:rsidRPr="00A22ACB">
        <w:rPr>
          <w:rFonts w:cstheme="minorHAnsi"/>
        </w:rPr>
        <w:t xml:space="preserve"> </w:t>
      </w:r>
      <w:r w:rsidR="00C51385" w:rsidRPr="00A22ACB">
        <w:rPr>
          <w:rFonts w:cstheme="minorHAnsi"/>
          <w:b/>
        </w:rPr>
        <w:t>1 February 2023</w:t>
      </w:r>
      <w:r w:rsidRPr="00A22ACB">
        <w:rPr>
          <w:rFonts w:cstheme="minorHAnsi"/>
        </w:rPr>
        <w:t xml:space="preserve"> which are calculated as specific percentage or specified proportion of basic salary should be calculated by reference to the revised rates of pay with effect from </w:t>
      </w:r>
      <w:r w:rsidR="00C51385" w:rsidRPr="00A22ACB">
        <w:rPr>
          <w:rFonts w:cstheme="minorHAnsi"/>
          <w:b/>
        </w:rPr>
        <w:t>1 February 2023 for grades to which this circular applies</w:t>
      </w:r>
      <w:r w:rsidRPr="00A22ACB">
        <w:rPr>
          <w:rFonts w:cstheme="minorHAnsi"/>
        </w:rPr>
        <w:t>.</w:t>
      </w:r>
    </w:p>
    <w:p w14:paraId="4FECA8BB" w14:textId="77777777" w:rsidR="00DB7482" w:rsidRDefault="00DB7482" w:rsidP="00DB7482">
      <w:pPr>
        <w:pStyle w:val="ListParagraph"/>
        <w:spacing w:after="0"/>
        <w:jc w:val="both"/>
        <w:rPr>
          <w:rFonts w:cstheme="minorHAnsi"/>
          <w:b/>
        </w:rPr>
      </w:pPr>
    </w:p>
    <w:p w14:paraId="4511F82F" w14:textId="77777777" w:rsidR="00DB7482" w:rsidRDefault="00DB7482" w:rsidP="00DB7482">
      <w:pPr>
        <w:pStyle w:val="ListParagraph"/>
        <w:numPr>
          <w:ilvl w:val="0"/>
          <w:numId w:val="3"/>
        </w:numPr>
        <w:spacing w:after="0"/>
        <w:ind w:left="426"/>
        <w:rPr>
          <w:rFonts w:cstheme="minorHAnsi"/>
          <w:b/>
        </w:rPr>
      </w:pPr>
      <w:r w:rsidRPr="0095349D">
        <w:rPr>
          <w:rFonts w:cstheme="minorHAnsi"/>
          <w:b/>
        </w:rPr>
        <w:t>Queries</w:t>
      </w:r>
    </w:p>
    <w:p w14:paraId="5D6AEC47" w14:textId="77777777" w:rsidR="00DB7482" w:rsidRPr="0095349D" w:rsidRDefault="00DB7482" w:rsidP="00DB7482">
      <w:pPr>
        <w:pStyle w:val="ListParagraph"/>
        <w:spacing w:after="0"/>
        <w:ind w:left="426"/>
        <w:rPr>
          <w:rFonts w:cstheme="minorHAnsi"/>
          <w:b/>
        </w:rPr>
      </w:pPr>
    </w:p>
    <w:p w14:paraId="4F140EDF" w14:textId="7D745094" w:rsidR="00DB7482" w:rsidRPr="00D52180" w:rsidRDefault="00DB7482" w:rsidP="00D52180">
      <w:pPr>
        <w:spacing w:line="240" w:lineRule="auto"/>
        <w:jc w:val="both"/>
        <w:rPr>
          <w:rFonts w:cstheme="minorHAnsi"/>
          <w:sz w:val="24"/>
        </w:rPr>
      </w:pPr>
      <w:r w:rsidRPr="00D52180">
        <w:rPr>
          <w:rFonts w:cstheme="minorHAnsi"/>
          <w:sz w:val="24"/>
        </w:rPr>
        <w:t>Any queries regarding anomalies identified or other enquiries in relation to this Circular shou</w:t>
      </w:r>
      <w:r w:rsidR="00E440EC">
        <w:rPr>
          <w:rFonts w:cstheme="minorHAnsi"/>
          <w:sz w:val="24"/>
        </w:rPr>
        <w:t>ld be forwarded by email to</w:t>
      </w:r>
      <w:r w:rsidRPr="00D52180">
        <w:rPr>
          <w:rFonts w:cstheme="minorHAnsi"/>
          <w:sz w:val="24"/>
        </w:rPr>
        <w:t xml:space="preserve"> </w:t>
      </w:r>
      <w:r w:rsidRPr="00D52180">
        <w:rPr>
          <w:rFonts w:cstheme="minorHAnsi"/>
          <w:b/>
        </w:rPr>
        <w:t>ESR_HEI@Dfheris.gov.ie</w:t>
      </w:r>
    </w:p>
    <w:p w14:paraId="4F8B6F28" w14:textId="266E6A10" w:rsidR="00DB7482" w:rsidRDefault="00DB7482" w:rsidP="00DB7482">
      <w:pPr>
        <w:pStyle w:val="BodyText"/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832093">
        <w:tab/>
      </w:r>
      <w:r w:rsidRPr="00832093">
        <w:tab/>
        <w:t xml:space="preserve"> </w:t>
      </w:r>
      <w:r>
        <w:tab/>
      </w:r>
      <w:r>
        <w:tab/>
      </w:r>
      <w:r>
        <w:tab/>
      </w:r>
    </w:p>
    <w:p w14:paraId="7381EC68" w14:textId="43722AA4" w:rsidR="00DB7482" w:rsidRDefault="00F704EA" w:rsidP="00DB7482">
      <w:pPr>
        <w:pStyle w:val="BodyText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Andrew Conlon</w:t>
      </w:r>
    </w:p>
    <w:p w14:paraId="5A5738CE" w14:textId="77777777" w:rsidR="00DB7482" w:rsidRPr="006A141F" w:rsidRDefault="00DB7482" w:rsidP="00DB7482">
      <w:pPr>
        <w:spacing w:line="240" w:lineRule="auto"/>
        <w:ind w:right="-874"/>
        <w:jc w:val="both"/>
        <w:rPr>
          <w:rFonts w:cstheme="minorHAnsi"/>
          <w:sz w:val="24"/>
        </w:rPr>
      </w:pPr>
      <w:r w:rsidRPr="006A141F">
        <w:rPr>
          <w:rFonts w:cstheme="minorHAnsi"/>
          <w:sz w:val="24"/>
        </w:rPr>
        <w:t>Principal Officer</w:t>
      </w:r>
    </w:p>
    <w:p w14:paraId="5F2B2DBF" w14:textId="77777777" w:rsidR="00DB7482" w:rsidRPr="006A141F" w:rsidRDefault="00DB7482" w:rsidP="00DB7482">
      <w:pPr>
        <w:spacing w:line="240" w:lineRule="auto"/>
        <w:ind w:right="-874"/>
        <w:jc w:val="both"/>
        <w:rPr>
          <w:rFonts w:cstheme="minorHAnsi"/>
          <w:sz w:val="24"/>
        </w:rPr>
      </w:pPr>
      <w:r w:rsidRPr="006A141F">
        <w:rPr>
          <w:rFonts w:cstheme="minorHAnsi"/>
          <w:sz w:val="24"/>
        </w:rPr>
        <w:t>External Staff Relations</w:t>
      </w:r>
    </w:p>
    <w:p w14:paraId="25770BA0" w14:textId="050DB523" w:rsidR="00DB7482" w:rsidRDefault="004332B0" w:rsidP="006B139F">
      <w:pPr>
        <w:pStyle w:val="BodyText"/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20</w:t>
      </w:r>
      <w:r w:rsidRPr="004332B0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 xml:space="preserve"> </w:t>
      </w:r>
      <w:r w:rsidR="00F704EA">
        <w:rPr>
          <w:rFonts w:asciiTheme="minorHAnsi" w:hAnsiTheme="minorHAnsi" w:cstheme="minorHAnsi"/>
          <w:sz w:val="24"/>
        </w:rPr>
        <w:t>Feb 2023</w:t>
      </w:r>
    </w:p>
    <w:p w14:paraId="55A52E8E" w14:textId="16FD0ACC" w:rsidR="00C07768" w:rsidRDefault="00C07768" w:rsidP="006B139F">
      <w:pPr>
        <w:pStyle w:val="BodyText"/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C07768" w:rsidSect="0008115B">
      <w:type w:val="continuous"/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4607" w14:textId="77777777" w:rsidR="007360CB" w:rsidRDefault="007360CB" w:rsidP="004D055C">
      <w:pPr>
        <w:spacing w:after="0" w:line="240" w:lineRule="auto"/>
      </w:pPr>
      <w:r>
        <w:separator/>
      </w:r>
    </w:p>
  </w:endnote>
  <w:endnote w:type="continuationSeparator" w:id="0">
    <w:p w14:paraId="6348AE32" w14:textId="77777777" w:rsidR="007360CB" w:rsidRDefault="007360CB" w:rsidP="004D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3BF9" w14:textId="77777777" w:rsidR="007360CB" w:rsidRDefault="007360CB" w:rsidP="004D055C">
      <w:pPr>
        <w:spacing w:after="0" w:line="240" w:lineRule="auto"/>
      </w:pPr>
      <w:r>
        <w:separator/>
      </w:r>
    </w:p>
  </w:footnote>
  <w:footnote w:type="continuationSeparator" w:id="0">
    <w:p w14:paraId="60F40E90" w14:textId="77777777" w:rsidR="007360CB" w:rsidRDefault="007360CB" w:rsidP="004D0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6604"/>
    <w:multiLevelType w:val="multilevel"/>
    <w:tmpl w:val="E37453C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" w15:restartNumberingAfterBreak="0">
    <w:nsid w:val="1AEE5053"/>
    <w:multiLevelType w:val="multilevel"/>
    <w:tmpl w:val="B0B829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50E4E59"/>
    <w:multiLevelType w:val="multilevel"/>
    <w:tmpl w:val="EAF695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96" w:hanging="1800"/>
      </w:pPr>
      <w:rPr>
        <w:rFonts w:hint="default"/>
      </w:rPr>
    </w:lvl>
  </w:abstractNum>
  <w:abstractNum w:abstractNumId="3" w15:restartNumberingAfterBreak="0">
    <w:nsid w:val="3C2B0840"/>
    <w:multiLevelType w:val="multilevel"/>
    <w:tmpl w:val="6DAAAE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44A6552F"/>
    <w:multiLevelType w:val="multilevel"/>
    <w:tmpl w:val="1F22C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656555"/>
    <w:multiLevelType w:val="multilevel"/>
    <w:tmpl w:val="2000E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17003461">
    <w:abstractNumId w:val="4"/>
  </w:num>
  <w:num w:numId="2" w16cid:durableId="88502069">
    <w:abstractNumId w:val="5"/>
  </w:num>
  <w:num w:numId="3" w16cid:durableId="1019236055">
    <w:abstractNumId w:val="1"/>
  </w:num>
  <w:num w:numId="4" w16cid:durableId="1644844821">
    <w:abstractNumId w:val="3"/>
  </w:num>
  <w:num w:numId="5" w16cid:durableId="21320190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846883">
    <w:abstractNumId w:val="2"/>
  </w:num>
  <w:num w:numId="7" w16cid:durableId="13842198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efaultTableStyle w:val="GridTable2-Accent6"/>
  <w:characterSpacingControl w:val="doNotCompress"/>
  <w:hdrShapeDefaults>
    <o:shapedefaults v:ext="edit" spidmax="2050">
      <o:colormru v:ext="edit" colors="#f6fcfa,#fcfefd,#f3fefe,#fdfeff,#fdfffe,#fdf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12"/>
    <w:rsid w:val="00007BCB"/>
    <w:rsid w:val="00030B04"/>
    <w:rsid w:val="00044E08"/>
    <w:rsid w:val="000572B6"/>
    <w:rsid w:val="00065654"/>
    <w:rsid w:val="000765A1"/>
    <w:rsid w:val="00076C7E"/>
    <w:rsid w:val="0008115B"/>
    <w:rsid w:val="00090AE7"/>
    <w:rsid w:val="00097D29"/>
    <w:rsid w:val="000A3AF9"/>
    <w:rsid w:val="000C3EB0"/>
    <w:rsid w:val="000C5234"/>
    <w:rsid w:val="000D2A0A"/>
    <w:rsid w:val="000D35C2"/>
    <w:rsid w:val="000F2F12"/>
    <w:rsid w:val="000F7242"/>
    <w:rsid w:val="00116E47"/>
    <w:rsid w:val="00145029"/>
    <w:rsid w:val="0015274F"/>
    <w:rsid w:val="001527D2"/>
    <w:rsid w:val="00155351"/>
    <w:rsid w:val="00195737"/>
    <w:rsid w:val="00197CF8"/>
    <w:rsid w:val="001B1D00"/>
    <w:rsid w:val="001C1A45"/>
    <w:rsid w:val="001C2791"/>
    <w:rsid w:val="002203B1"/>
    <w:rsid w:val="00227D5B"/>
    <w:rsid w:val="00230735"/>
    <w:rsid w:val="00230C50"/>
    <w:rsid w:val="00232BE7"/>
    <w:rsid w:val="002333F0"/>
    <w:rsid w:val="002423FB"/>
    <w:rsid w:val="002563E9"/>
    <w:rsid w:val="002839B1"/>
    <w:rsid w:val="002C456F"/>
    <w:rsid w:val="002C5805"/>
    <w:rsid w:val="002F41A8"/>
    <w:rsid w:val="002F6173"/>
    <w:rsid w:val="00313D4C"/>
    <w:rsid w:val="00325382"/>
    <w:rsid w:val="00327276"/>
    <w:rsid w:val="0034005B"/>
    <w:rsid w:val="003864F8"/>
    <w:rsid w:val="00397B51"/>
    <w:rsid w:val="003B7178"/>
    <w:rsid w:val="003D0DD0"/>
    <w:rsid w:val="003F11ED"/>
    <w:rsid w:val="003F6A63"/>
    <w:rsid w:val="004332B0"/>
    <w:rsid w:val="004547CB"/>
    <w:rsid w:val="004562AB"/>
    <w:rsid w:val="004635E4"/>
    <w:rsid w:val="004658D2"/>
    <w:rsid w:val="00492B65"/>
    <w:rsid w:val="004979DF"/>
    <w:rsid w:val="004A2755"/>
    <w:rsid w:val="004A4272"/>
    <w:rsid w:val="004A7CC2"/>
    <w:rsid w:val="004C2539"/>
    <w:rsid w:val="004C4163"/>
    <w:rsid w:val="004D055C"/>
    <w:rsid w:val="004D4379"/>
    <w:rsid w:val="004D4703"/>
    <w:rsid w:val="004E127D"/>
    <w:rsid w:val="004E39D5"/>
    <w:rsid w:val="004E3B7E"/>
    <w:rsid w:val="004E4A3A"/>
    <w:rsid w:val="004E7A14"/>
    <w:rsid w:val="004F5CEC"/>
    <w:rsid w:val="00520D39"/>
    <w:rsid w:val="00531571"/>
    <w:rsid w:val="00537094"/>
    <w:rsid w:val="00540D8B"/>
    <w:rsid w:val="00582EF8"/>
    <w:rsid w:val="005A1BCE"/>
    <w:rsid w:val="005C27B4"/>
    <w:rsid w:val="005C5BFB"/>
    <w:rsid w:val="005D2589"/>
    <w:rsid w:val="005D785A"/>
    <w:rsid w:val="00603AEE"/>
    <w:rsid w:val="0061122B"/>
    <w:rsid w:val="00614134"/>
    <w:rsid w:val="006146CC"/>
    <w:rsid w:val="00661165"/>
    <w:rsid w:val="00664ED6"/>
    <w:rsid w:val="006A6899"/>
    <w:rsid w:val="006A6CD9"/>
    <w:rsid w:val="006B139F"/>
    <w:rsid w:val="006D32AF"/>
    <w:rsid w:val="00703265"/>
    <w:rsid w:val="007360CB"/>
    <w:rsid w:val="00752389"/>
    <w:rsid w:val="007743D3"/>
    <w:rsid w:val="007A36F2"/>
    <w:rsid w:val="007A5F98"/>
    <w:rsid w:val="007A6276"/>
    <w:rsid w:val="007A7241"/>
    <w:rsid w:val="007B4B3F"/>
    <w:rsid w:val="007C1C44"/>
    <w:rsid w:val="007D1192"/>
    <w:rsid w:val="007D2FCC"/>
    <w:rsid w:val="007F2DE4"/>
    <w:rsid w:val="00805F9A"/>
    <w:rsid w:val="00815B8B"/>
    <w:rsid w:val="00817656"/>
    <w:rsid w:val="00842B4B"/>
    <w:rsid w:val="00850F12"/>
    <w:rsid w:val="008640FB"/>
    <w:rsid w:val="00865E98"/>
    <w:rsid w:val="008728D2"/>
    <w:rsid w:val="0088038F"/>
    <w:rsid w:val="0088231A"/>
    <w:rsid w:val="00887C99"/>
    <w:rsid w:val="00895B0A"/>
    <w:rsid w:val="008B0947"/>
    <w:rsid w:val="008B11FC"/>
    <w:rsid w:val="008C02B7"/>
    <w:rsid w:val="008E10FE"/>
    <w:rsid w:val="008F623E"/>
    <w:rsid w:val="00910976"/>
    <w:rsid w:val="00931573"/>
    <w:rsid w:val="009329A7"/>
    <w:rsid w:val="00940406"/>
    <w:rsid w:val="009439BD"/>
    <w:rsid w:val="0094466D"/>
    <w:rsid w:val="00955C76"/>
    <w:rsid w:val="009674C5"/>
    <w:rsid w:val="009736E0"/>
    <w:rsid w:val="00973D89"/>
    <w:rsid w:val="009932C5"/>
    <w:rsid w:val="009A6E0E"/>
    <w:rsid w:val="009B408E"/>
    <w:rsid w:val="009C0D18"/>
    <w:rsid w:val="009E2CBC"/>
    <w:rsid w:val="009E2CC8"/>
    <w:rsid w:val="009E326A"/>
    <w:rsid w:val="00A033E3"/>
    <w:rsid w:val="00A22ACB"/>
    <w:rsid w:val="00A22EA8"/>
    <w:rsid w:val="00A5187A"/>
    <w:rsid w:val="00A775D5"/>
    <w:rsid w:val="00A879D5"/>
    <w:rsid w:val="00AA0B3E"/>
    <w:rsid w:val="00AB010E"/>
    <w:rsid w:val="00AC357E"/>
    <w:rsid w:val="00AC55AF"/>
    <w:rsid w:val="00B05A56"/>
    <w:rsid w:val="00B13EA9"/>
    <w:rsid w:val="00B23914"/>
    <w:rsid w:val="00B46526"/>
    <w:rsid w:val="00B537E7"/>
    <w:rsid w:val="00B5556A"/>
    <w:rsid w:val="00B656B9"/>
    <w:rsid w:val="00B710CB"/>
    <w:rsid w:val="00B71F73"/>
    <w:rsid w:val="00B7475A"/>
    <w:rsid w:val="00B75A7F"/>
    <w:rsid w:val="00B7778B"/>
    <w:rsid w:val="00B80987"/>
    <w:rsid w:val="00B849F8"/>
    <w:rsid w:val="00BA29B0"/>
    <w:rsid w:val="00BB3CBA"/>
    <w:rsid w:val="00BE19D2"/>
    <w:rsid w:val="00BE4395"/>
    <w:rsid w:val="00BF4618"/>
    <w:rsid w:val="00BF5756"/>
    <w:rsid w:val="00C07768"/>
    <w:rsid w:val="00C15AEE"/>
    <w:rsid w:val="00C22266"/>
    <w:rsid w:val="00C32614"/>
    <w:rsid w:val="00C41895"/>
    <w:rsid w:val="00C47E2F"/>
    <w:rsid w:val="00C503B4"/>
    <w:rsid w:val="00C51385"/>
    <w:rsid w:val="00C549A5"/>
    <w:rsid w:val="00C569AC"/>
    <w:rsid w:val="00C6750C"/>
    <w:rsid w:val="00CC2EC7"/>
    <w:rsid w:val="00CC4998"/>
    <w:rsid w:val="00CE4606"/>
    <w:rsid w:val="00D07682"/>
    <w:rsid w:val="00D1244D"/>
    <w:rsid w:val="00D30043"/>
    <w:rsid w:val="00D52180"/>
    <w:rsid w:val="00DA16E0"/>
    <w:rsid w:val="00DA60AE"/>
    <w:rsid w:val="00DB7482"/>
    <w:rsid w:val="00DE4CA9"/>
    <w:rsid w:val="00E073DB"/>
    <w:rsid w:val="00E26191"/>
    <w:rsid w:val="00E40460"/>
    <w:rsid w:val="00E440EC"/>
    <w:rsid w:val="00E6164F"/>
    <w:rsid w:val="00E74493"/>
    <w:rsid w:val="00E74FBB"/>
    <w:rsid w:val="00E83B3C"/>
    <w:rsid w:val="00EA15DB"/>
    <w:rsid w:val="00EA352A"/>
    <w:rsid w:val="00EA5F53"/>
    <w:rsid w:val="00EC6E89"/>
    <w:rsid w:val="00ED4635"/>
    <w:rsid w:val="00F016B9"/>
    <w:rsid w:val="00F30E03"/>
    <w:rsid w:val="00F34072"/>
    <w:rsid w:val="00F5174A"/>
    <w:rsid w:val="00F542AE"/>
    <w:rsid w:val="00F55C76"/>
    <w:rsid w:val="00F65911"/>
    <w:rsid w:val="00F704EA"/>
    <w:rsid w:val="00F80E1C"/>
    <w:rsid w:val="00F96895"/>
    <w:rsid w:val="00FA63EF"/>
    <w:rsid w:val="00FB40AC"/>
    <w:rsid w:val="00FC36EC"/>
    <w:rsid w:val="00FF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6fcfa,#fcfefd,#f3fefe,#fdfeff,#fdfffe,#fdfffc"/>
    </o:shapedefaults>
    <o:shapelayout v:ext="edit">
      <o:idmap v:ext="edit" data="2"/>
    </o:shapelayout>
  </w:shapeDefaults>
  <w:decimalSymbol w:val="."/>
  <w:listSeparator w:val=","/>
  <w14:docId w14:val="3B963DA3"/>
  <w15:chartTrackingRefBased/>
  <w15:docId w15:val="{755B149B-BDEF-41E3-A569-A971C4AB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6EC"/>
  </w:style>
  <w:style w:type="paragraph" w:styleId="Heading1">
    <w:name w:val="heading 1"/>
    <w:basedOn w:val="Normal"/>
    <w:next w:val="Normal"/>
    <w:link w:val="Heading1Char"/>
    <w:uiPriority w:val="9"/>
    <w:qFormat/>
    <w:rsid w:val="003253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F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33B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F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5727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382"/>
    <w:rPr>
      <w:rFonts w:asciiTheme="majorHAnsi" w:eastAsiaTheme="majorEastAsia" w:hAnsiTheme="majorHAnsi" w:cstheme="majorBidi"/>
      <w:color w:val="0083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5F53"/>
    <w:rPr>
      <w:rFonts w:asciiTheme="majorHAnsi" w:eastAsiaTheme="majorEastAsia" w:hAnsiTheme="majorHAnsi" w:cstheme="majorBidi"/>
      <w:color w:val="00833B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5F53"/>
    <w:rPr>
      <w:rFonts w:asciiTheme="majorHAnsi" w:eastAsiaTheme="majorEastAsia" w:hAnsiTheme="majorHAnsi" w:cstheme="majorBidi"/>
      <w:color w:val="005727" w:themeColor="accent1" w:themeShade="7F"/>
      <w:sz w:val="24"/>
      <w:szCs w:val="24"/>
    </w:rPr>
  </w:style>
  <w:style w:type="table" w:styleId="ListTable6Colorful-Accent5">
    <w:name w:val="List Table 6 Colorful Accent 5"/>
    <w:basedOn w:val="TableNormal"/>
    <w:uiPriority w:val="51"/>
    <w:rsid w:val="00B710CB"/>
    <w:pPr>
      <w:spacing w:after="0" w:line="240" w:lineRule="auto"/>
    </w:pPr>
    <w:rPr>
      <w:color w:val="59B8E0" w:themeColor="accent5" w:themeShade="BF"/>
    </w:rPr>
    <w:tblPr>
      <w:tblStyleRowBandSize w:val="1"/>
      <w:tblStyleColBandSize w:val="1"/>
      <w:tblBorders>
        <w:top w:val="single" w:sz="4" w:space="0" w:color="B3DFF1" w:themeColor="accent5"/>
        <w:bottom w:val="single" w:sz="4" w:space="0" w:color="B3DFF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3DFF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3DFF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C" w:themeFill="accent5" w:themeFillTint="33"/>
      </w:tcPr>
    </w:tblStylePr>
    <w:tblStylePr w:type="band1Horz">
      <w:tblPr/>
      <w:tcPr>
        <w:shd w:val="clear" w:color="auto" w:fill="EFF8FC" w:themeFill="accent5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10CB"/>
    <w:pPr>
      <w:spacing w:after="0" w:line="240" w:lineRule="auto"/>
    </w:pPr>
    <w:rPr>
      <w:color w:val="00833B" w:themeColor="accent1" w:themeShade="BF"/>
    </w:rPr>
    <w:tblPr>
      <w:tblStyleRowBandSize w:val="1"/>
      <w:tblStyleColBandSize w:val="1"/>
      <w:tblBorders>
        <w:top w:val="single" w:sz="4" w:space="0" w:color="00B050" w:themeColor="accent1"/>
        <w:bottom w:val="single" w:sz="4" w:space="0" w:color="00B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B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B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FDA" w:themeFill="accent1" w:themeFillTint="33"/>
      </w:tcPr>
    </w:tblStylePr>
    <w:tblStylePr w:type="band1Horz">
      <w:tblPr/>
      <w:tcPr>
        <w:shd w:val="clear" w:color="auto" w:fill="BCFFDA" w:themeFill="accent1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10CB"/>
    <w:pPr>
      <w:spacing w:after="0" w:line="240" w:lineRule="auto"/>
    </w:pPr>
    <w:rPr>
      <w:color w:val="316DA9" w:themeColor="accent6" w:themeShade="BF"/>
    </w:rPr>
    <w:tblPr>
      <w:tblStyleRowBandSize w:val="1"/>
      <w:tblStyleColBandSize w:val="1"/>
      <w:tblBorders>
        <w:top w:val="single" w:sz="4" w:space="0" w:color="5692CE" w:themeColor="accent6"/>
        <w:bottom w:val="single" w:sz="4" w:space="0" w:color="5692C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692C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692C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F5" w:themeFill="accent6" w:themeFillTint="33"/>
      </w:tcPr>
    </w:tblStylePr>
    <w:tblStylePr w:type="band1Horz">
      <w:tblPr/>
      <w:tcPr>
        <w:shd w:val="clear" w:color="auto" w:fill="DDE9F5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B710CB"/>
    <w:pPr>
      <w:spacing w:after="0" w:line="240" w:lineRule="auto"/>
    </w:pPr>
    <w:rPr>
      <w:color w:val="316DA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92C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92C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92C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92C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9F5" w:themeFill="accent6" w:themeFillTint="33"/>
      </w:tcPr>
    </w:tblStylePr>
    <w:tblStylePr w:type="band1Horz">
      <w:tblPr/>
      <w:tcPr>
        <w:shd w:val="clear" w:color="auto" w:fill="DDE9F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6">
    <w:name w:val="Grid Table 2 Accent 6"/>
    <w:basedOn w:val="TableNormal"/>
    <w:uiPriority w:val="47"/>
    <w:rsid w:val="00FB40AC"/>
    <w:pPr>
      <w:spacing w:after="0" w:line="240" w:lineRule="auto"/>
      <w:jc w:val="center"/>
    </w:pPr>
    <w:tblPr>
      <w:tblStyleRowBandSize w:val="1"/>
      <w:tblStyleColBandSize w:val="1"/>
      <w:tblBorders>
        <w:top w:val="single" w:sz="12" w:space="0" w:color="214971" w:themeColor="accent6" w:themeShade="80"/>
        <w:left w:val="single" w:sz="12" w:space="0" w:color="214971" w:themeColor="accent6" w:themeShade="80"/>
        <w:bottom w:val="single" w:sz="12" w:space="0" w:color="214971" w:themeColor="accent6" w:themeShade="80"/>
        <w:right w:val="single" w:sz="12" w:space="0" w:color="214971" w:themeColor="accent6" w:themeShade="80"/>
        <w:insideH w:val="single" w:sz="12" w:space="0" w:color="214971" w:themeColor="accent6" w:themeShade="80"/>
        <w:insideV w:val="single" w:sz="12" w:space="0" w:color="214971" w:themeColor="accent6" w:themeShade="80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99BDE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BDE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9F5" w:themeFill="accent6" w:themeFillTint="33"/>
      </w:tcPr>
    </w:tblStylePr>
    <w:tblStylePr w:type="band1Horz">
      <w:tblPr/>
      <w:tcPr>
        <w:shd w:val="clear" w:color="auto" w:fill="DDE9F5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664ED6"/>
    <w:pPr>
      <w:spacing w:after="0" w:line="240" w:lineRule="auto"/>
    </w:pPr>
    <w:tblPr>
      <w:tblStyleRowBandSize w:val="1"/>
      <w:tblStyleColBandSize w:val="1"/>
      <w:tblBorders>
        <w:top w:val="single" w:sz="2" w:space="0" w:color="D1EBF6" w:themeColor="accent5" w:themeTint="99"/>
        <w:bottom w:val="single" w:sz="2" w:space="0" w:color="D1EBF6" w:themeColor="accent5" w:themeTint="99"/>
        <w:insideH w:val="single" w:sz="2" w:space="0" w:color="D1EBF6" w:themeColor="accent5" w:themeTint="99"/>
        <w:insideV w:val="single" w:sz="2" w:space="0" w:color="D1EBF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1EBF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1EBF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C" w:themeFill="accent5" w:themeFillTint="33"/>
      </w:tcPr>
    </w:tblStylePr>
    <w:tblStylePr w:type="band1Horz">
      <w:tblPr/>
      <w:tcPr>
        <w:shd w:val="clear" w:color="auto" w:fill="EFF8FC" w:themeFill="accent5" w:themeFillTint="33"/>
      </w:tcPr>
    </w:tblStylePr>
  </w:style>
  <w:style w:type="table" w:styleId="TableGrid">
    <w:name w:val="Table Grid"/>
    <w:basedOn w:val="TableNormal"/>
    <w:uiPriority w:val="39"/>
    <w:rsid w:val="0066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List Paragraph Char Char Char,Indicator Text,Numbered Para 1,List Paragraph1,Bullet 1,Bullet Points,MAIN CONTENT,List Paragraph2,OBC Bullet,List Paragraph11,List Paragraph12,F5 List Paragraph,Colorful List - Accent 11,No Spacing1,3"/>
    <w:basedOn w:val="Normal"/>
    <w:link w:val="ListParagraphChar"/>
    <w:uiPriority w:val="34"/>
    <w:qFormat/>
    <w:rsid w:val="004562AB"/>
    <w:pPr>
      <w:ind w:left="720"/>
      <w:contextualSpacing/>
    </w:pPr>
  </w:style>
  <w:style w:type="character" w:customStyle="1" w:styleId="ListParagraphChar">
    <w:name w:val="List Paragraph Char"/>
    <w:aliases w:val="Dot pt Char,List Paragraph Char Char Char Char,Indicator Text Char,Numbered Para 1 Char,List Paragraph1 Char,Bullet 1 Char,Bullet Points Char,MAIN CONTENT Char,List Paragraph2 Char,OBC Bullet Char,List Paragraph11 Char,3 Char"/>
    <w:basedOn w:val="DefaultParagraphFont"/>
    <w:link w:val="ListParagraph"/>
    <w:uiPriority w:val="34"/>
    <w:qFormat/>
    <w:locked/>
    <w:rsid w:val="004547CB"/>
  </w:style>
  <w:style w:type="paragraph" w:styleId="Header">
    <w:name w:val="header"/>
    <w:basedOn w:val="Normal"/>
    <w:link w:val="HeaderChar"/>
    <w:uiPriority w:val="99"/>
    <w:unhideWhenUsed/>
    <w:rsid w:val="004D0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55C"/>
  </w:style>
  <w:style w:type="paragraph" w:styleId="Footer">
    <w:name w:val="footer"/>
    <w:basedOn w:val="Normal"/>
    <w:link w:val="FooterChar"/>
    <w:uiPriority w:val="99"/>
    <w:unhideWhenUsed/>
    <w:rsid w:val="004D05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55C"/>
  </w:style>
  <w:style w:type="paragraph" w:styleId="NoSpacing">
    <w:name w:val="No Spacing"/>
    <w:uiPriority w:val="1"/>
    <w:qFormat/>
    <w:rsid w:val="00EA5F53"/>
    <w:pPr>
      <w:spacing w:after="0" w:line="240" w:lineRule="auto"/>
    </w:pPr>
  </w:style>
  <w:style w:type="table" w:styleId="GridTable2-Accent3">
    <w:name w:val="Grid Table 2 Accent 3"/>
    <w:basedOn w:val="TableNormal"/>
    <w:uiPriority w:val="47"/>
    <w:rsid w:val="00A775D5"/>
    <w:pPr>
      <w:spacing w:after="0" w:line="240" w:lineRule="auto"/>
      <w:jc w:val="center"/>
    </w:pPr>
    <w:tblPr>
      <w:tblStyleRowBandSize w:val="1"/>
      <w:tblStyleColBandSize w:val="1"/>
      <w:tblBorders>
        <w:top w:val="single" w:sz="12" w:space="0" w:color="49711E" w:themeColor="accent3" w:themeShade="80"/>
        <w:left w:val="single" w:sz="12" w:space="0" w:color="49711E" w:themeColor="accent3" w:themeShade="80"/>
        <w:bottom w:val="single" w:sz="12" w:space="0" w:color="49711E" w:themeColor="accent3" w:themeShade="80"/>
        <w:right w:val="single" w:sz="12" w:space="0" w:color="49711E" w:themeColor="accent3" w:themeShade="80"/>
        <w:insideH w:val="single" w:sz="12" w:space="0" w:color="49711E" w:themeColor="accent3" w:themeShade="80"/>
        <w:insideV w:val="single" w:sz="12" w:space="0" w:color="49711E" w:themeColor="accent3" w:themeShade="80"/>
      </w:tblBorders>
    </w:tblPr>
    <w:tcPr>
      <w:vAlign w:val="center"/>
    </w:tcPr>
    <w:tblStylePr w:type="firstRow">
      <w:rPr>
        <w:b/>
        <w:bCs/>
      </w:rPr>
      <w:tblPr/>
      <w:tcPr>
        <w:tcBorders>
          <w:top w:val="nil"/>
          <w:bottom w:val="single" w:sz="12" w:space="0" w:color="BDE29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DE29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DB" w:themeFill="accent3" w:themeFillTint="33"/>
      </w:tcPr>
    </w:tblStylePr>
    <w:tblStylePr w:type="band1Horz">
      <w:tblPr/>
      <w:tcPr>
        <w:shd w:val="clear" w:color="auto" w:fill="E9F5DB" w:themeFill="accent3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4547CB"/>
    <w:pPr>
      <w:spacing w:after="120" w:line="280" w:lineRule="exact"/>
    </w:pPr>
    <w:rPr>
      <w:rFonts w:ascii="Arial" w:hAnsi="Arial"/>
      <w:sz w:val="21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547CB"/>
    <w:rPr>
      <w:rFonts w:ascii="Arial" w:hAnsi="Arial"/>
      <w:sz w:val="21"/>
      <w:szCs w:val="24"/>
      <w:lang w:val="en-US"/>
    </w:rPr>
  </w:style>
  <w:style w:type="paragraph" w:customStyle="1" w:styleId="FolioNumber8pt">
    <w:name w:val="Folio Number 8pt"/>
    <w:basedOn w:val="Normal"/>
    <w:qFormat/>
    <w:rsid w:val="004547CB"/>
    <w:pPr>
      <w:spacing w:after="0" w:line="240" w:lineRule="exact"/>
      <w:outlineLvl w:val="0"/>
    </w:pPr>
    <w:rPr>
      <w:rFonts w:ascii="Arial" w:hAnsi="Arial" w:cs="Arial"/>
      <w:sz w:val="16"/>
      <w:szCs w:val="16"/>
      <w:lang w:val="en-GB"/>
    </w:rPr>
  </w:style>
  <w:style w:type="paragraph" w:customStyle="1" w:styleId="ContactInformation812pt">
    <w:name w:val="Contact Information 8/12pt"/>
    <w:next w:val="FolioNumber8pt"/>
    <w:qFormat/>
    <w:rsid w:val="004547CB"/>
    <w:pPr>
      <w:spacing w:after="0" w:line="240" w:lineRule="exact"/>
    </w:pPr>
    <w:rPr>
      <w:rFonts w:ascii="Arial" w:eastAsiaTheme="majorEastAsia" w:hAnsi="Arial" w:cstheme="majorBidi"/>
      <w:color w:val="004D44"/>
      <w:sz w:val="16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4547CB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7CB"/>
    <w:rPr>
      <w:rFonts w:ascii="Segoe UI" w:hAnsi="Segoe UI" w:cs="Segoe UI"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7C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4547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4547CB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4547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547C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547C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47CB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unhideWhenUsed/>
    <w:rsid w:val="0045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47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47C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7CB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7CB"/>
    <w:rPr>
      <w:b/>
      <w:bCs/>
    </w:rPr>
  </w:style>
  <w:style w:type="character" w:styleId="Strong">
    <w:name w:val="Strong"/>
    <w:basedOn w:val="DefaultParagraphFont"/>
    <w:uiPriority w:val="22"/>
    <w:qFormat/>
    <w:rsid w:val="004547CB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B"/>
    <w:rPr>
      <w:rFonts w:eastAsiaTheme="minorEastAsia"/>
      <w:sz w:val="20"/>
      <w:szCs w:val="20"/>
      <w:lang w:eastAsia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B"/>
    <w:pPr>
      <w:spacing w:after="0" w:line="240" w:lineRule="auto"/>
    </w:pPr>
    <w:rPr>
      <w:rFonts w:eastAsiaTheme="minorEastAsia"/>
      <w:sz w:val="20"/>
      <w:szCs w:val="20"/>
      <w:lang w:eastAsia="en-IE"/>
    </w:rPr>
  </w:style>
  <w:style w:type="character" w:customStyle="1" w:styleId="FootnoteTextChar1">
    <w:name w:val="Footnote Text Char1"/>
    <w:basedOn w:val="DefaultParagraphFont"/>
    <w:uiPriority w:val="99"/>
    <w:semiHidden/>
    <w:rsid w:val="004547CB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547CB"/>
    <w:rPr>
      <w:rFonts w:ascii="Calibri" w:eastAsiaTheme="minorEastAsia" w:hAnsi="Calibri"/>
      <w:szCs w:val="21"/>
      <w:lang w:eastAsia="en-IE"/>
    </w:rPr>
  </w:style>
  <w:style w:type="paragraph" w:styleId="PlainText">
    <w:name w:val="Plain Text"/>
    <w:basedOn w:val="Normal"/>
    <w:link w:val="PlainTextChar"/>
    <w:unhideWhenUsed/>
    <w:rsid w:val="004547CB"/>
    <w:pPr>
      <w:spacing w:after="0" w:line="240" w:lineRule="auto"/>
    </w:pPr>
    <w:rPr>
      <w:rFonts w:ascii="Calibri" w:eastAsiaTheme="minorEastAsia" w:hAnsi="Calibri"/>
      <w:szCs w:val="21"/>
      <w:lang w:eastAsia="en-IE"/>
    </w:rPr>
  </w:style>
  <w:style w:type="character" w:customStyle="1" w:styleId="PlainTextChar1">
    <w:name w:val="Plain Text Char1"/>
    <w:basedOn w:val="DefaultParagraphFont"/>
    <w:uiPriority w:val="99"/>
    <w:semiHidden/>
    <w:rsid w:val="004547CB"/>
    <w:rPr>
      <w:rFonts w:ascii="Consolas" w:hAnsi="Consolas"/>
      <w:sz w:val="21"/>
      <w:szCs w:val="21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547CB"/>
    <w:rPr>
      <w:rFonts w:ascii="Times New Roman" w:eastAsia="Times New Roman" w:hAnsi="Times New Roman" w:cs="Times New Roman"/>
      <w:b/>
      <w:bCs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547C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en-GB"/>
    </w:rPr>
  </w:style>
  <w:style w:type="character" w:customStyle="1" w:styleId="EndnoteTextChar1">
    <w:name w:val="Endnote Text Char1"/>
    <w:basedOn w:val="DefaultParagraphFont"/>
    <w:uiPriority w:val="99"/>
    <w:semiHidden/>
    <w:rsid w:val="004547CB"/>
    <w:rPr>
      <w:sz w:val="20"/>
      <w:szCs w:val="20"/>
    </w:rPr>
  </w:style>
  <w:style w:type="table" w:styleId="GridTable1Light-Accent4">
    <w:name w:val="Grid Table 1 Light Accent 4"/>
    <w:basedOn w:val="TableNormal"/>
    <w:uiPriority w:val="46"/>
    <w:rsid w:val="00F5174A"/>
    <w:pPr>
      <w:spacing w:after="0" w:line="240" w:lineRule="auto"/>
    </w:pPr>
    <w:tblPr>
      <w:tblStyleRowBandSize w:val="1"/>
      <w:tblStyleColBandSize w:val="1"/>
      <w:tblBorders>
        <w:top w:val="single" w:sz="4" w:space="0" w:color="7FC9FF" w:themeColor="accent4" w:themeTint="66"/>
        <w:left w:val="single" w:sz="4" w:space="0" w:color="7FC9FF" w:themeColor="accent4" w:themeTint="66"/>
        <w:bottom w:val="single" w:sz="4" w:space="0" w:color="7FC9FF" w:themeColor="accent4" w:themeTint="66"/>
        <w:right w:val="single" w:sz="4" w:space="0" w:color="7FC9FF" w:themeColor="accent4" w:themeTint="66"/>
        <w:insideH w:val="single" w:sz="4" w:space="0" w:color="7FC9FF" w:themeColor="accent4" w:themeTint="66"/>
        <w:insideV w:val="single" w:sz="4" w:space="0" w:color="7FC9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0AE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AE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rsid w:val="00865E98"/>
    <w:pPr>
      <w:spacing w:after="0" w:line="240" w:lineRule="auto"/>
    </w:pPr>
    <w:tblPr>
      <w:tblStyleRowBandSize w:val="1"/>
      <w:tblStyleColBandSize w:val="1"/>
      <w:tblBorders>
        <w:top w:val="single" w:sz="2" w:space="0" w:color="40AEFF" w:themeColor="accent4" w:themeTint="99"/>
        <w:bottom w:val="single" w:sz="2" w:space="0" w:color="40AEFF" w:themeColor="accent4" w:themeTint="99"/>
        <w:insideH w:val="single" w:sz="2" w:space="0" w:color="40AEFF" w:themeColor="accent4" w:themeTint="99"/>
        <w:insideV w:val="single" w:sz="2" w:space="0" w:color="40AE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AE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AE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4FF" w:themeFill="accent4" w:themeFillTint="33"/>
      </w:tcPr>
    </w:tblStylePr>
    <w:tblStylePr w:type="band1Horz">
      <w:tblPr/>
      <w:tcPr>
        <w:shd w:val="clear" w:color="auto" w:fill="BFE4FF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Facet">
  <a:themeElements>
    <a:clrScheme name="Dfheris">
      <a:dk1>
        <a:srgbClr val="000000"/>
      </a:dk1>
      <a:lt1>
        <a:sysClr val="window" lastClr="FFFFFF"/>
      </a:lt1>
      <a:dk2>
        <a:srgbClr val="565152"/>
      </a:dk2>
      <a:lt2>
        <a:srgbClr val="EDECE5"/>
      </a:lt2>
      <a:accent1>
        <a:srgbClr val="00B050"/>
      </a:accent1>
      <a:accent2>
        <a:srgbClr val="A39161"/>
      </a:accent2>
      <a:accent3>
        <a:srgbClr val="92D050"/>
      </a:accent3>
      <a:accent4>
        <a:srgbClr val="0070C0"/>
      </a:accent4>
      <a:accent5>
        <a:srgbClr val="B3DFF1"/>
      </a:accent5>
      <a:accent6>
        <a:srgbClr val="5692CE"/>
      </a:accent6>
      <a:hlink>
        <a:srgbClr val="C81C5D"/>
      </a:hlink>
      <a:folHlink>
        <a:srgbClr val="5C4D9B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C122-38C9-4A81-A09D-A6A74742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Skills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PeterG</dc:creator>
  <cp:keywords/>
  <dc:description/>
  <cp:lastModifiedBy>cgriffin</cp:lastModifiedBy>
  <cp:revision>2</cp:revision>
  <cp:lastPrinted>2021-12-07T11:52:00Z</cp:lastPrinted>
  <dcterms:created xsi:type="dcterms:W3CDTF">2023-02-24T12:19:00Z</dcterms:created>
  <dcterms:modified xsi:type="dcterms:W3CDTF">2023-02-24T12:19:00Z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05da336450037d64d8af9013331ef987ceedf83309f44e6c26ce917621ecb2b9</vt:lpwstr>
  </property>
</Properties>
</file>