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E91F" w14:textId="77777777" w:rsidR="00BD16B5" w:rsidRDefault="000373BB" w:rsidP="00BD16B5">
      <w:pPr>
        <w:jc w:val="center"/>
        <w:rPr>
          <w:b/>
          <w:sz w:val="32"/>
          <w:szCs w:val="32"/>
        </w:rPr>
      </w:pPr>
      <w:bookmarkStart w:id="0" w:name="_GoBack"/>
      <w:bookmarkEnd w:id="0"/>
      <w:r w:rsidRPr="002E5D97">
        <w:rPr>
          <w:noProof/>
          <w:lang w:eastAsia="en-IE"/>
        </w:rPr>
        <w:drawing>
          <wp:inline distT="0" distB="0" distL="0" distR="0" wp14:anchorId="05C82E19" wp14:editId="7B63B673">
            <wp:extent cx="1666515" cy="1475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982" cy="1510924"/>
                    </a:xfrm>
                    <a:prstGeom prst="rect">
                      <a:avLst/>
                    </a:prstGeom>
                  </pic:spPr>
                </pic:pic>
              </a:graphicData>
            </a:graphic>
          </wp:inline>
        </w:drawing>
      </w:r>
    </w:p>
    <w:p w14:paraId="1D181CE9" w14:textId="001C2161"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200E7E">
        <w:rPr>
          <w:b/>
          <w:sz w:val="32"/>
          <w:szCs w:val="32"/>
        </w:rPr>
        <w:t>establishment of an interdepartmental committee for island development</w:t>
      </w:r>
      <w:r w:rsidR="00B80181">
        <w:rPr>
          <w:b/>
          <w:sz w:val="32"/>
          <w:szCs w:val="32"/>
        </w:rPr>
        <w:t>.</w:t>
      </w:r>
    </w:p>
    <w:p w14:paraId="4119D788" w14:textId="6A00D00D" w:rsidR="00A12494" w:rsidRPr="005160BD" w:rsidRDefault="00A12494" w:rsidP="00BD16B5">
      <w:pPr>
        <w:jc w:val="center"/>
        <w:rPr>
          <w:b/>
          <w:sz w:val="32"/>
          <w:szCs w:val="32"/>
        </w:rPr>
      </w:pPr>
      <w:r w:rsidRPr="005160BD">
        <w:rPr>
          <w:b/>
          <w:sz w:val="32"/>
          <w:szCs w:val="32"/>
        </w:rPr>
        <w:t>(</w:t>
      </w:r>
      <w:r w:rsidR="00405AA8">
        <w:rPr>
          <w:b/>
          <w:sz w:val="32"/>
          <w:szCs w:val="32"/>
        </w:rPr>
        <w:t>August</w:t>
      </w:r>
      <w:r w:rsidR="00015A69">
        <w:rPr>
          <w:b/>
          <w:sz w:val="32"/>
          <w:szCs w:val="32"/>
        </w:rPr>
        <w:t xml:space="preserve"> 2019</w:t>
      </w:r>
      <w:r w:rsidRPr="005160BD">
        <w:rPr>
          <w:b/>
          <w:sz w:val="32"/>
          <w:szCs w:val="32"/>
        </w:rPr>
        <w:t>)</w:t>
      </w:r>
    </w:p>
    <w:p w14:paraId="00AA2CA6" w14:textId="788A2388" w:rsidR="00F0172A" w:rsidRPr="00943717" w:rsidRDefault="001542F7" w:rsidP="00537F2A">
      <w:pPr>
        <w:spacing w:after="0" w:line="360" w:lineRule="auto"/>
        <w:jc w:val="both"/>
        <w:rPr>
          <w:rFonts w:ascii="Calibri" w:hAnsi="Calibri"/>
          <w:sz w:val="24"/>
          <w:szCs w:val="24"/>
        </w:rPr>
      </w:pPr>
      <w:r w:rsidRPr="00943717">
        <w:rPr>
          <w:rFonts w:ascii="Calibri" w:hAnsi="Calibri"/>
          <w:sz w:val="24"/>
          <w:szCs w:val="24"/>
        </w:rPr>
        <w:t xml:space="preserve">The </w:t>
      </w:r>
      <w:r w:rsidR="008C1AAB" w:rsidRPr="00943717">
        <w:rPr>
          <w:rFonts w:ascii="Calibri" w:hAnsi="Calibri"/>
          <w:sz w:val="24"/>
          <w:szCs w:val="24"/>
        </w:rPr>
        <w:t>TUI represents teachers</w:t>
      </w:r>
      <w:r w:rsidRPr="00943717">
        <w:rPr>
          <w:rFonts w:ascii="Calibri" w:hAnsi="Calibri"/>
          <w:sz w:val="24"/>
          <w:szCs w:val="24"/>
        </w:rPr>
        <w:t>, l</w:t>
      </w:r>
      <w:r w:rsidR="000F61E9" w:rsidRPr="00943717">
        <w:rPr>
          <w:rFonts w:ascii="Calibri" w:hAnsi="Calibri"/>
          <w:sz w:val="24"/>
          <w:szCs w:val="24"/>
        </w:rPr>
        <w:t>ecturers and staff in out of school services (18</w:t>
      </w:r>
      <w:r w:rsidR="00196E79" w:rsidRPr="00943717">
        <w:rPr>
          <w:rFonts w:ascii="Calibri" w:hAnsi="Calibri"/>
          <w:sz w:val="24"/>
          <w:szCs w:val="24"/>
        </w:rPr>
        <w:t>,000+) employed by Education and Training Boards (ETBs)</w:t>
      </w:r>
      <w:r w:rsidR="000F61E9" w:rsidRPr="00943717">
        <w:rPr>
          <w:rFonts w:ascii="Calibri" w:hAnsi="Calibri"/>
          <w:sz w:val="24"/>
          <w:szCs w:val="24"/>
        </w:rPr>
        <w:t xml:space="preserve">, voluntary secondary schools, </w:t>
      </w:r>
      <w:r w:rsidR="00196E79" w:rsidRPr="00943717">
        <w:rPr>
          <w:rFonts w:ascii="Calibri" w:hAnsi="Calibri"/>
          <w:sz w:val="24"/>
          <w:szCs w:val="24"/>
        </w:rPr>
        <w:t>Com</w:t>
      </w:r>
      <w:r w:rsidR="001843B1" w:rsidRPr="00943717">
        <w:rPr>
          <w:rFonts w:ascii="Calibri" w:hAnsi="Calibri"/>
          <w:sz w:val="24"/>
          <w:szCs w:val="24"/>
        </w:rPr>
        <w:t>munity and Comprehensive (C&amp;C) s</w:t>
      </w:r>
      <w:r w:rsidR="00196E79" w:rsidRPr="00943717">
        <w:rPr>
          <w:rFonts w:ascii="Calibri" w:hAnsi="Calibri"/>
          <w:sz w:val="24"/>
          <w:szCs w:val="24"/>
        </w:rPr>
        <w:t>chools</w:t>
      </w:r>
      <w:r w:rsidR="000F61E9" w:rsidRPr="00943717">
        <w:rPr>
          <w:rFonts w:ascii="Calibri" w:hAnsi="Calibri"/>
          <w:sz w:val="24"/>
          <w:szCs w:val="24"/>
        </w:rPr>
        <w:t xml:space="preserve">, </w:t>
      </w:r>
      <w:proofErr w:type="spellStart"/>
      <w:r w:rsidR="000F61E9" w:rsidRPr="00943717">
        <w:rPr>
          <w:rFonts w:ascii="Calibri" w:hAnsi="Calibri"/>
          <w:sz w:val="24"/>
          <w:szCs w:val="24"/>
        </w:rPr>
        <w:t>Youthreach</w:t>
      </w:r>
      <w:proofErr w:type="spellEnd"/>
      <w:r w:rsidR="00B85E6A" w:rsidRPr="00943717">
        <w:rPr>
          <w:rFonts w:ascii="Calibri" w:hAnsi="Calibri"/>
          <w:sz w:val="24"/>
          <w:szCs w:val="24"/>
        </w:rPr>
        <w:t>, Technological Universities and the</w:t>
      </w:r>
      <w:r w:rsidR="000F61E9" w:rsidRPr="00943717">
        <w:rPr>
          <w:rFonts w:ascii="Calibri" w:hAnsi="Calibri"/>
          <w:sz w:val="24"/>
          <w:szCs w:val="24"/>
        </w:rPr>
        <w:t xml:space="preserve"> institutes of technology</w:t>
      </w:r>
      <w:r w:rsidR="00196E79" w:rsidRPr="00943717">
        <w:rPr>
          <w:rFonts w:ascii="Calibri" w:hAnsi="Calibri"/>
          <w:sz w:val="24"/>
          <w:szCs w:val="24"/>
        </w:rPr>
        <w:t xml:space="preserve">. </w:t>
      </w:r>
      <w:proofErr w:type="gramStart"/>
      <w:r w:rsidR="006E4096">
        <w:rPr>
          <w:rFonts w:ascii="Calibri" w:hAnsi="Calibri"/>
          <w:sz w:val="24"/>
          <w:szCs w:val="24"/>
        </w:rPr>
        <w:t>All</w:t>
      </w:r>
      <w:r w:rsidR="00200E7E" w:rsidRPr="00943717">
        <w:rPr>
          <w:rFonts w:ascii="Calibri" w:hAnsi="Calibri"/>
          <w:sz w:val="24"/>
          <w:szCs w:val="24"/>
        </w:rPr>
        <w:t xml:space="preserve"> of</w:t>
      </w:r>
      <w:proofErr w:type="gramEnd"/>
      <w:r w:rsidR="00200E7E" w:rsidRPr="00943717">
        <w:rPr>
          <w:rFonts w:ascii="Calibri" w:hAnsi="Calibri"/>
          <w:sz w:val="24"/>
          <w:szCs w:val="24"/>
        </w:rPr>
        <w:t xml:space="preserve"> the five post-primary schools located on islands off Ireland are staffed by TUI members.</w:t>
      </w:r>
    </w:p>
    <w:p w14:paraId="1B7F7A81" w14:textId="77777777" w:rsidR="00196E79" w:rsidRPr="00943717" w:rsidRDefault="00196E79" w:rsidP="00537F2A">
      <w:pPr>
        <w:spacing w:line="360" w:lineRule="auto"/>
        <w:jc w:val="both"/>
        <w:rPr>
          <w:rFonts w:ascii="Calibri" w:hAnsi="Calibri"/>
          <w:sz w:val="24"/>
          <w:szCs w:val="24"/>
        </w:rPr>
      </w:pPr>
    </w:p>
    <w:p w14:paraId="048B6210" w14:textId="77777777" w:rsidR="008457C5" w:rsidRPr="00943717" w:rsidRDefault="008457C5" w:rsidP="00537F2A">
      <w:pPr>
        <w:spacing w:line="360" w:lineRule="auto"/>
        <w:jc w:val="both"/>
        <w:rPr>
          <w:rFonts w:ascii="Calibri" w:eastAsiaTheme="majorEastAsia" w:hAnsi="Calibri" w:cstheme="majorBidi"/>
          <w:b/>
          <w:bCs/>
          <w:sz w:val="24"/>
          <w:szCs w:val="24"/>
          <w:u w:val="single"/>
        </w:rPr>
      </w:pPr>
      <w:r w:rsidRPr="00943717">
        <w:rPr>
          <w:rFonts w:ascii="Calibri" w:eastAsiaTheme="majorEastAsia" w:hAnsi="Calibri" w:cstheme="majorBidi"/>
          <w:b/>
          <w:bCs/>
          <w:sz w:val="24"/>
          <w:szCs w:val="24"/>
          <w:u w:val="single"/>
        </w:rPr>
        <w:t>Background</w:t>
      </w:r>
    </w:p>
    <w:p w14:paraId="723DAB75" w14:textId="1F5515BE" w:rsidR="00383C04" w:rsidRPr="00943717" w:rsidRDefault="00383C04" w:rsidP="00537F2A">
      <w:pPr>
        <w:spacing w:line="360" w:lineRule="auto"/>
        <w:jc w:val="both"/>
        <w:rPr>
          <w:rFonts w:ascii="Calibri" w:hAnsi="Calibri"/>
          <w:sz w:val="24"/>
          <w:szCs w:val="24"/>
        </w:rPr>
      </w:pPr>
      <w:r w:rsidRPr="00943717">
        <w:rPr>
          <w:rFonts w:ascii="Calibri" w:hAnsi="Calibri"/>
          <w:sz w:val="24"/>
          <w:szCs w:val="24"/>
        </w:rPr>
        <w:t>Ireland has an internationally acknowledged, high-</w:t>
      </w:r>
      <w:bookmarkStart w:id="1" w:name="_Hlk502824748"/>
      <w:r w:rsidRPr="00943717">
        <w:rPr>
          <w:rFonts w:ascii="Calibri" w:hAnsi="Calibri"/>
          <w:sz w:val="24"/>
          <w:szCs w:val="24"/>
        </w:rPr>
        <w:t>performing education system and respected teaching profession (Teaching Council, 2010; OECD, 2013; DES, 2018a; OECD, 2015a; OECD, 2009; NAP</w:t>
      </w:r>
      <w:r w:rsidR="0089023E" w:rsidRPr="00943717">
        <w:rPr>
          <w:rFonts w:ascii="Calibri" w:hAnsi="Calibri"/>
          <w:sz w:val="24"/>
          <w:szCs w:val="24"/>
        </w:rPr>
        <w:t xml:space="preserve">D, 2016; </w:t>
      </w:r>
      <w:proofErr w:type="spellStart"/>
      <w:r w:rsidR="0089023E" w:rsidRPr="00943717">
        <w:rPr>
          <w:rFonts w:ascii="Calibri" w:hAnsi="Calibri"/>
          <w:sz w:val="24"/>
          <w:szCs w:val="24"/>
        </w:rPr>
        <w:t>Comhairle</w:t>
      </w:r>
      <w:proofErr w:type="spellEnd"/>
      <w:r w:rsidR="0089023E" w:rsidRPr="00943717">
        <w:rPr>
          <w:rFonts w:ascii="Calibri" w:hAnsi="Calibri"/>
          <w:sz w:val="24"/>
          <w:szCs w:val="24"/>
        </w:rPr>
        <w:t xml:space="preserve"> </w:t>
      </w:r>
      <w:proofErr w:type="spellStart"/>
      <w:r w:rsidR="0089023E" w:rsidRPr="00943717">
        <w:rPr>
          <w:rFonts w:ascii="Calibri" w:hAnsi="Calibri"/>
          <w:sz w:val="24"/>
          <w:szCs w:val="24"/>
        </w:rPr>
        <w:t>na</w:t>
      </w:r>
      <w:proofErr w:type="spellEnd"/>
      <w:r w:rsidR="0089023E" w:rsidRPr="00943717">
        <w:rPr>
          <w:rFonts w:ascii="Calibri" w:hAnsi="Calibri"/>
          <w:sz w:val="24"/>
          <w:szCs w:val="24"/>
        </w:rPr>
        <w:t xml:space="preserve"> </w:t>
      </w:r>
      <w:proofErr w:type="spellStart"/>
      <w:r w:rsidR="0089023E" w:rsidRPr="00943717">
        <w:rPr>
          <w:rFonts w:ascii="Calibri" w:hAnsi="Calibri"/>
          <w:sz w:val="24"/>
          <w:szCs w:val="24"/>
        </w:rPr>
        <w:t>nOg</w:t>
      </w:r>
      <w:proofErr w:type="spellEnd"/>
      <w:r w:rsidR="0089023E" w:rsidRPr="00943717">
        <w:rPr>
          <w:rFonts w:ascii="Calibri" w:hAnsi="Calibri"/>
          <w:sz w:val="24"/>
          <w:szCs w:val="24"/>
        </w:rPr>
        <w:t>, 2017; Growing Up in Ireland, 2017;</w:t>
      </w:r>
      <w:r w:rsidRPr="00943717">
        <w:rPr>
          <w:rFonts w:ascii="Calibri" w:hAnsi="Calibri"/>
          <w:sz w:val="24"/>
          <w:szCs w:val="24"/>
        </w:rPr>
        <w:t xml:space="preserve"> IPSOS MRBI Trust in the Profes</w:t>
      </w:r>
      <w:r w:rsidR="0089023E" w:rsidRPr="00943717">
        <w:rPr>
          <w:rFonts w:ascii="Calibri" w:hAnsi="Calibri"/>
          <w:sz w:val="24"/>
          <w:szCs w:val="24"/>
        </w:rPr>
        <w:t>sions Survey, 2017; Boyle, 2017;</w:t>
      </w:r>
      <w:r w:rsidRPr="00943717">
        <w:rPr>
          <w:rFonts w:ascii="Calibri" w:hAnsi="Calibri"/>
          <w:sz w:val="24"/>
          <w:szCs w:val="24"/>
        </w:rPr>
        <w:t xml:space="preserve"> Scanlon &amp; McKenna, 2018; EU </w:t>
      </w:r>
      <w:r w:rsidR="0089023E" w:rsidRPr="00943717">
        <w:rPr>
          <w:rFonts w:ascii="Calibri" w:hAnsi="Calibri"/>
          <w:sz w:val="24"/>
          <w:szCs w:val="24"/>
        </w:rPr>
        <w:t>Commission/EACEA/Eurydice, 2018;</w:t>
      </w:r>
      <w:r w:rsidRPr="00943717">
        <w:rPr>
          <w:rFonts w:ascii="Calibri" w:hAnsi="Calibri"/>
          <w:sz w:val="24"/>
          <w:szCs w:val="24"/>
        </w:rPr>
        <w:t xml:space="preserve"> Kantar Millward Brown, 2018</w:t>
      </w:r>
      <w:r w:rsidR="0089023E" w:rsidRPr="00943717">
        <w:rPr>
          <w:rFonts w:ascii="Calibri" w:hAnsi="Calibri"/>
          <w:sz w:val="24"/>
          <w:szCs w:val="24"/>
        </w:rPr>
        <w:t>;</w:t>
      </w:r>
      <w:r w:rsidR="00476435" w:rsidRPr="00943717">
        <w:rPr>
          <w:rFonts w:ascii="Calibri" w:hAnsi="Calibri"/>
          <w:sz w:val="24"/>
          <w:szCs w:val="24"/>
        </w:rPr>
        <w:t xml:space="preserve"> Social Progress Initiative</w:t>
      </w:r>
      <w:r w:rsidR="00C570F1" w:rsidRPr="00943717">
        <w:rPr>
          <w:rFonts w:ascii="Calibri" w:hAnsi="Calibri"/>
          <w:sz w:val="24"/>
          <w:szCs w:val="24"/>
        </w:rPr>
        <w:t>, 2018</w:t>
      </w:r>
      <w:r w:rsidR="0089023E" w:rsidRPr="00943717">
        <w:rPr>
          <w:rFonts w:ascii="Calibri" w:hAnsi="Calibri"/>
          <w:sz w:val="24"/>
          <w:szCs w:val="24"/>
        </w:rPr>
        <w:t>; EU Commission, 2018</w:t>
      </w:r>
      <w:r w:rsidR="00A14C57" w:rsidRPr="00943717">
        <w:rPr>
          <w:rFonts w:ascii="Calibri" w:hAnsi="Calibri"/>
          <w:sz w:val="24"/>
          <w:szCs w:val="24"/>
        </w:rPr>
        <w:t xml:space="preserve">; </w:t>
      </w:r>
      <w:r w:rsidR="00D05374" w:rsidRPr="00943717">
        <w:rPr>
          <w:rFonts w:ascii="Calibri" w:hAnsi="Calibri"/>
          <w:sz w:val="24"/>
          <w:szCs w:val="24"/>
        </w:rPr>
        <w:t xml:space="preserve">EU Commission, 2019; </w:t>
      </w:r>
      <w:r w:rsidR="00A14C57" w:rsidRPr="00943717">
        <w:rPr>
          <w:rFonts w:ascii="Calibri" w:hAnsi="Calibri"/>
          <w:sz w:val="24"/>
          <w:szCs w:val="24"/>
        </w:rPr>
        <w:t>United Nations Development Programme, 2018</w:t>
      </w:r>
      <w:r w:rsidR="00342095" w:rsidRPr="00943717">
        <w:rPr>
          <w:rFonts w:ascii="Calibri" w:hAnsi="Calibri"/>
          <w:sz w:val="24"/>
          <w:szCs w:val="24"/>
        </w:rPr>
        <w:t xml:space="preserve">; </w:t>
      </w:r>
      <w:r w:rsidR="00342095" w:rsidRPr="00943717">
        <w:rPr>
          <w:rFonts w:ascii="Calibri" w:eastAsia="BrandonGrotesque-Regular" w:hAnsi="Calibri" w:cs="Arial"/>
          <w:sz w:val="24"/>
          <w:szCs w:val="24"/>
        </w:rPr>
        <w:t>Irish Survey of Student Engagement 2018</w:t>
      </w:r>
      <w:r w:rsidR="00D077AC" w:rsidRPr="00943717">
        <w:rPr>
          <w:rFonts w:ascii="Calibri" w:hAnsi="Calibri"/>
          <w:sz w:val="24"/>
          <w:szCs w:val="24"/>
        </w:rPr>
        <w:t>; Growing Up in Ireland, 2018</w:t>
      </w:r>
      <w:r w:rsidRPr="00943717">
        <w:rPr>
          <w:rFonts w:ascii="Calibri" w:hAnsi="Calibri"/>
          <w:sz w:val="24"/>
          <w:szCs w:val="24"/>
        </w:rPr>
        <w:t>) despite spending relatively little on education (OECD, 2015</w:t>
      </w:r>
      <w:bookmarkEnd w:id="1"/>
      <w:r w:rsidRPr="00943717">
        <w:rPr>
          <w:rFonts w:ascii="Calibri" w:hAnsi="Calibri"/>
          <w:sz w:val="24"/>
          <w:szCs w:val="24"/>
        </w:rPr>
        <w:t>b; SJI, 2018, NERI, 2018) and historic underinvestment (DES, 2018b).</w:t>
      </w:r>
      <w:r w:rsidR="00B47744" w:rsidRPr="00943717">
        <w:rPr>
          <w:rFonts w:ascii="Calibri" w:hAnsi="Calibri"/>
          <w:sz w:val="24"/>
          <w:szCs w:val="24"/>
        </w:rPr>
        <w:t xml:space="preserve">  </w:t>
      </w:r>
      <w:bookmarkStart w:id="2" w:name="_Hlk531297986"/>
      <w:proofErr w:type="gramStart"/>
      <w:r w:rsidR="00B47744" w:rsidRPr="00943717">
        <w:rPr>
          <w:rFonts w:ascii="Calibri" w:hAnsi="Calibri"/>
          <w:sz w:val="24"/>
          <w:szCs w:val="24"/>
        </w:rPr>
        <w:t>Indeed</w:t>
      </w:r>
      <w:proofErr w:type="gramEnd"/>
      <w:r w:rsidR="00B47744" w:rsidRPr="00943717">
        <w:rPr>
          <w:rFonts w:ascii="Calibri" w:hAnsi="Calibri"/>
          <w:sz w:val="24"/>
          <w:szCs w:val="24"/>
        </w:rPr>
        <w:t xml:space="preserve"> citizen satisfaction with the education system in Ireland is the highest of any of 22 European countries studied (Boyle, 2018).</w:t>
      </w:r>
      <w:bookmarkEnd w:id="2"/>
    </w:p>
    <w:p w14:paraId="481BBA70" w14:textId="77777777" w:rsidR="007E46FA" w:rsidRPr="00943717" w:rsidRDefault="007E46FA" w:rsidP="00537F2A">
      <w:pPr>
        <w:autoSpaceDE w:val="0"/>
        <w:autoSpaceDN w:val="0"/>
        <w:adjustRightInd w:val="0"/>
        <w:spacing w:after="0" w:line="360" w:lineRule="auto"/>
        <w:jc w:val="both"/>
        <w:rPr>
          <w:rFonts w:ascii="Calibri" w:hAnsi="Calibri" w:cs="Arial"/>
          <w:sz w:val="24"/>
          <w:szCs w:val="24"/>
        </w:rPr>
      </w:pPr>
    </w:p>
    <w:p w14:paraId="2E7C8118" w14:textId="2436B51F" w:rsidR="00200E7E" w:rsidRPr="00943717" w:rsidRDefault="00200E7E" w:rsidP="00537F2A">
      <w:pPr>
        <w:spacing w:line="360" w:lineRule="auto"/>
        <w:jc w:val="both"/>
        <w:rPr>
          <w:rFonts w:ascii="Calibri" w:eastAsiaTheme="majorEastAsia" w:hAnsi="Calibri" w:cstheme="majorBidi"/>
          <w:b/>
          <w:bCs/>
          <w:sz w:val="24"/>
          <w:szCs w:val="24"/>
          <w:u w:val="single"/>
        </w:rPr>
      </w:pPr>
      <w:r w:rsidRPr="00943717">
        <w:rPr>
          <w:rFonts w:ascii="Calibri" w:eastAsiaTheme="majorEastAsia" w:hAnsi="Calibri" w:cstheme="majorBidi"/>
          <w:b/>
          <w:bCs/>
          <w:sz w:val="24"/>
          <w:szCs w:val="24"/>
          <w:u w:val="single"/>
        </w:rPr>
        <w:t>Interdepartmental Committee for Island Development</w:t>
      </w:r>
    </w:p>
    <w:p w14:paraId="1004304F" w14:textId="01E95A04" w:rsidR="00925397" w:rsidRPr="00692299" w:rsidRDefault="00200E7E" w:rsidP="00537F2A">
      <w:pPr>
        <w:spacing w:line="360" w:lineRule="auto"/>
        <w:jc w:val="both"/>
        <w:rPr>
          <w:rFonts w:ascii="Calibri" w:hAnsi="Calibri"/>
          <w:sz w:val="24"/>
          <w:szCs w:val="24"/>
        </w:rPr>
      </w:pPr>
      <w:r w:rsidRPr="00943717">
        <w:rPr>
          <w:rFonts w:ascii="Calibri" w:hAnsi="Calibri"/>
          <w:sz w:val="24"/>
          <w:szCs w:val="24"/>
        </w:rPr>
        <w:t xml:space="preserve">The TUI would like to </w:t>
      </w:r>
      <w:r w:rsidR="00925397" w:rsidRPr="00943717">
        <w:rPr>
          <w:rFonts w:ascii="Calibri" w:hAnsi="Calibri"/>
          <w:sz w:val="24"/>
          <w:szCs w:val="24"/>
        </w:rPr>
        <w:t>welcome</w:t>
      </w:r>
      <w:r w:rsidRPr="00943717">
        <w:rPr>
          <w:rFonts w:ascii="Calibri" w:hAnsi="Calibri"/>
          <w:sz w:val="24"/>
          <w:szCs w:val="24"/>
        </w:rPr>
        <w:t xml:space="preserve"> the recent announcement by Minister </w:t>
      </w:r>
      <w:proofErr w:type="spellStart"/>
      <w:r w:rsidRPr="00943717">
        <w:rPr>
          <w:rFonts w:ascii="Calibri" w:hAnsi="Calibri"/>
          <w:sz w:val="24"/>
          <w:szCs w:val="24"/>
        </w:rPr>
        <w:t>Kyne</w:t>
      </w:r>
      <w:proofErr w:type="spellEnd"/>
      <w:r w:rsidRPr="00943717">
        <w:rPr>
          <w:rFonts w:ascii="Calibri" w:hAnsi="Calibri"/>
          <w:sz w:val="24"/>
          <w:szCs w:val="24"/>
        </w:rPr>
        <w:t xml:space="preserve"> of the above committee.  We would also like to call on the Minister to ensure that education partners are </w:t>
      </w:r>
      <w:r w:rsidRPr="00943717">
        <w:rPr>
          <w:rFonts w:ascii="Calibri" w:hAnsi="Calibri"/>
          <w:sz w:val="24"/>
          <w:szCs w:val="24"/>
        </w:rPr>
        <w:lastRenderedPageBreak/>
        <w:t>included in the discuss</w:t>
      </w:r>
      <w:r w:rsidR="00925397" w:rsidRPr="00943717">
        <w:rPr>
          <w:rFonts w:ascii="Calibri" w:hAnsi="Calibri"/>
          <w:sz w:val="24"/>
          <w:szCs w:val="24"/>
        </w:rPr>
        <w:t>i</w:t>
      </w:r>
      <w:r w:rsidRPr="00943717">
        <w:rPr>
          <w:rFonts w:ascii="Calibri" w:hAnsi="Calibri"/>
          <w:sz w:val="24"/>
          <w:szCs w:val="24"/>
        </w:rPr>
        <w:t xml:space="preserve">ons </w:t>
      </w:r>
      <w:r w:rsidR="00925397" w:rsidRPr="00943717">
        <w:rPr>
          <w:rFonts w:ascii="Calibri" w:hAnsi="Calibri"/>
          <w:sz w:val="24"/>
          <w:szCs w:val="24"/>
        </w:rPr>
        <w:t>and consultation processes as education is a vital part of island economi</w:t>
      </w:r>
      <w:r w:rsidR="00C82E3C" w:rsidRPr="00943717">
        <w:rPr>
          <w:rFonts w:ascii="Calibri" w:hAnsi="Calibri"/>
          <w:sz w:val="24"/>
          <w:szCs w:val="24"/>
        </w:rPr>
        <w:t>c</w:t>
      </w:r>
      <w:r w:rsidR="00925397" w:rsidRPr="00943717">
        <w:rPr>
          <w:rFonts w:ascii="Calibri" w:hAnsi="Calibri"/>
          <w:sz w:val="24"/>
          <w:szCs w:val="24"/>
        </w:rPr>
        <w:t>s and development.</w:t>
      </w:r>
      <w:r w:rsidR="00C82E3C" w:rsidRPr="00943717">
        <w:rPr>
          <w:rFonts w:ascii="Calibri" w:hAnsi="Calibri"/>
          <w:sz w:val="24"/>
          <w:szCs w:val="24"/>
        </w:rPr>
        <w:t xml:space="preserve">  </w:t>
      </w:r>
      <w:proofErr w:type="gramStart"/>
      <w:r w:rsidR="00C82E3C" w:rsidRPr="00943717">
        <w:rPr>
          <w:rFonts w:ascii="Calibri" w:hAnsi="Calibri"/>
          <w:sz w:val="24"/>
          <w:szCs w:val="24"/>
        </w:rPr>
        <w:t>Indeed</w:t>
      </w:r>
      <w:proofErr w:type="gramEnd"/>
      <w:r w:rsidR="00C82E3C" w:rsidRPr="00943717">
        <w:rPr>
          <w:rFonts w:ascii="Calibri" w:hAnsi="Calibri"/>
          <w:sz w:val="24"/>
          <w:szCs w:val="24"/>
        </w:rPr>
        <w:t xml:space="preserve"> </w:t>
      </w:r>
      <w:r w:rsidR="00C82E3C" w:rsidRPr="00692299">
        <w:rPr>
          <w:rFonts w:ascii="Calibri" w:hAnsi="Calibri"/>
          <w:sz w:val="24"/>
          <w:szCs w:val="24"/>
        </w:rPr>
        <w:t>island schools are an important employer as well as education being an important element of long-term development.</w:t>
      </w:r>
      <w:r w:rsidR="00692299" w:rsidRPr="00692299">
        <w:rPr>
          <w:rFonts w:eastAsia="Times New Roman"/>
          <w:sz w:val="24"/>
          <w:szCs w:val="24"/>
        </w:rPr>
        <w:t xml:space="preserve">  </w:t>
      </w:r>
      <w:r w:rsidR="006E4096">
        <w:rPr>
          <w:rFonts w:eastAsia="Times New Roman"/>
          <w:sz w:val="24"/>
          <w:szCs w:val="24"/>
        </w:rPr>
        <w:t>I</w:t>
      </w:r>
      <w:r w:rsidR="00692299" w:rsidRPr="00692299">
        <w:rPr>
          <w:rFonts w:eastAsia="Times New Roman"/>
          <w:sz w:val="24"/>
          <w:szCs w:val="24"/>
        </w:rPr>
        <w:t>t is very important that a suitable, sufficiently senior decision maker is nominated by each government department so that decisions can be made and implemented speedily.</w:t>
      </w:r>
    </w:p>
    <w:p w14:paraId="13783369" w14:textId="77777777" w:rsidR="00925397" w:rsidRPr="00692299" w:rsidRDefault="00925397" w:rsidP="00537F2A">
      <w:pPr>
        <w:spacing w:line="360" w:lineRule="auto"/>
        <w:jc w:val="both"/>
        <w:rPr>
          <w:rFonts w:ascii="Calibri" w:hAnsi="Calibri"/>
          <w:sz w:val="24"/>
          <w:szCs w:val="24"/>
        </w:rPr>
      </w:pPr>
    </w:p>
    <w:p w14:paraId="65252715" w14:textId="77777777" w:rsidR="00925397" w:rsidRPr="00943717" w:rsidRDefault="00925397" w:rsidP="00537F2A">
      <w:pPr>
        <w:spacing w:line="360" w:lineRule="auto"/>
        <w:jc w:val="both"/>
        <w:rPr>
          <w:rFonts w:ascii="Calibri" w:eastAsiaTheme="majorEastAsia" w:hAnsi="Calibri" w:cstheme="majorBidi"/>
          <w:b/>
          <w:bCs/>
          <w:sz w:val="24"/>
          <w:szCs w:val="24"/>
          <w:u w:val="single"/>
        </w:rPr>
      </w:pPr>
      <w:r w:rsidRPr="00943717">
        <w:rPr>
          <w:rFonts w:ascii="Calibri" w:eastAsiaTheme="majorEastAsia" w:hAnsi="Calibri" w:cstheme="majorBidi"/>
          <w:b/>
          <w:bCs/>
          <w:sz w:val="24"/>
          <w:szCs w:val="24"/>
          <w:u w:val="single"/>
        </w:rPr>
        <w:t>Suggested Priorities for the upcoming discussions of the Committee</w:t>
      </w:r>
    </w:p>
    <w:p w14:paraId="583BBFD9" w14:textId="54DA2EF0" w:rsidR="00925397" w:rsidRPr="00943717" w:rsidRDefault="00925397" w:rsidP="00537F2A">
      <w:pPr>
        <w:spacing w:line="360" w:lineRule="auto"/>
        <w:jc w:val="both"/>
        <w:rPr>
          <w:rFonts w:ascii="Calibri" w:hAnsi="Calibri"/>
          <w:sz w:val="24"/>
          <w:szCs w:val="24"/>
        </w:rPr>
      </w:pPr>
      <w:r w:rsidRPr="00943717">
        <w:rPr>
          <w:rFonts w:ascii="Calibri" w:hAnsi="Calibri"/>
          <w:sz w:val="24"/>
          <w:szCs w:val="24"/>
        </w:rPr>
        <w:t xml:space="preserve">The TUI respectfully asks that the </w:t>
      </w:r>
      <w:r w:rsidR="007A2296" w:rsidRPr="00943717">
        <w:rPr>
          <w:rFonts w:ascii="Calibri" w:hAnsi="Calibri"/>
          <w:sz w:val="24"/>
          <w:szCs w:val="24"/>
        </w:rPr>
        <w:t>I</w:t>
      </w:r>
      <w:r w:rsidRPr="00943717">
        <w:rPr>
          <w:rFonts w:ascii="Calibri" w:hAnsi="Calibri"/>
          <w:sz w:val="24"/>
          <w:szCs w:val="24"/>
        </w:rPr>
        <w:t xml:space="preserve">nterdepartmental </w:t>
      </w:r>
      <w:r w:rsidR="007A2296" w:rsidRPr="00943717">
        <w:rPr>
          <w:rFonts w:ascii="Calibri" w:hAnsi="Calibri"/>
          <w:sz w:val="24"/>
          <w:szCs w:val="24"/>
        </w:rPr>
        <w:t>C</w:t>
      </w:r>
      <w:r w:rsidRPr="00943717">
        <w:rPr>
          <w:rFonts w:ascii="Calibri" w:hAnsi="Calibri"/>
          <w:sz w:val="24"/>
          <w:szCs w:val="24"/>
        </w:rPr>
        <w:t>ommittee consider carefully the recommendations of the February 2018 Joint Oireach</w:t>
      </w:r>
      <w:r w:rsidR="0015153A" w:rsidRPr="00943717">
        <w:rPr>
          <w:rFonts w:ascii="Calibri" w:hAnsi="Calibri"/>
          <w:sz w:val="24"/>
          <w:szCs w:val="24"/>
        </w:rPr>
        <w:t>t</w:t>
      </w:r>
      <w:r w:rsidRPr="00943717">
        <w:rPr>
          <w:rFonts w:ascii="Calibri" w:hAnsi="Calibri"/>
          <w:sz w:val="24"/>
          <w:szCs w:val="24"/>
        </w:rPr>
        <w:t xml:space="preserve">as </w:t>
      </w:r>
      <w:r w:rsidR="006E4096">
        <w:rPr>
          <w:rFonts w:ascii="Calibri" w:hAnsi="Calibri"/>
          <w:sz w:val="24"/>
          <w:szCs w:val="24"/>
        </w:rPr>
        <w:t>C</w:t>
      </w:r>
      <w:r w:rsidRPr="00943717">
        <w:rPr>
          <w:rFonts w:ascii="Calibri" w:hAnsi="Calibri"/>
          <w:sz w:val="24"/>
          <w:szCs w:val="24"/>
        </w:rPr>
        <w:t xml:space="preserve">ommittee on Education and Skills report on island schools.  </w:t>
      </w:r>
      <w:proofErr w:type="gramStart"/>
      <w:r w:rsidRPr="00943717">
        <w:rPr>
          <w:rFonts w:ascii="Calibri" w:hAnsi="Calibri"/>
          <w:sz w:val="24"/>
          <w:szCs w:val="24"/>
        </w:rPr>
        <w:t>In particular the</w:t>
      </w:r>
      <w:proofErr w:type="gramEnd"/>
      <w:r w:rsidRPr="00943717">
        <w:rPr>
          <w:rFonts w:ascii="Calibri" w:hAnsi="Calibri"/>
          <w:sz w:val="24"/>
          <w:szCs w:val="24"/>
        </w:rPr>
        <w:t xml:space="preserve"> TUI would like to emphasise the importance of </w:t>
      </w:r>
      <w:r w:rsidR="00C82E3C" w:rsidRPr="00943717">
        <w:rPr>
          <w:rFonts w:ascii="Calibri" w:hAnsi="Calibri"/>
          <w:sz w:val="24"/>
          <w:szCs w:val="24"/>
        </w:rPr>
        <w:t xml:space="preserve">the following </w:t>
      </w:r>
      <w:r w:rsidRPr="00943717">
        <w:rPr>
          <w:rFonts w:ascii="Calibri" w:hAnsi="Calibri"/>
          <w:sz w:val="24"/>
          <w:szCs w:val="24"/>
        </w:rPr>
        <w:t>recommendations</w:t>
      </w:r>
      <w:r w:rsidR="00C82E3C" w:rsidRPr="00943717">
        <w:rPr>
          <w:rFonts w:ascii="Calibri" w:hAnsi="Calibri"/>
          <w:sz w:val="24"/>
          <w:szCs w:val="24"/>
        </w:rPr>
        <w:t xml:space="preserve"> </w:t>
      </w:r>
      <w:r w:rsidRPr="00943717">
        <w:rPr>
          <w:rFonts w:ascii="Calibri" w:hAnsi="Calibri"/>
          <w:sz w:val="24"/>
          <w:szCs w:val="24"/>
        </w:rPr>
        <w:t>made by the Oireachtas Committee</w:t>
      </w:r>
      <w:r w:rsidR="00C82E3C" w:rsidRPr="00943717">
        <w:rPr>
          <w:rFonts w:ascii="Calibri" w:hAnsi="Calibri"/>
          <w:sz w:val="24"/>
          <w:szCs w:val="24"/>
        </w:rPr>
        <w:t>:</w:t>
      </w:r>
    </w:p>
    <w:p w14:paraId="3DD38D73" w14:textId="5A09567C" w:rsidR="00925397" w:rsidRPr="00943717" w:rsidRDefault="00C82E3C" w:rsidP="00537F2A">
      <w:pPr>
        <w:pStyle w:val="ListParagraph"/>
        <w:numPr>
          <w:ilvl w:val="0"/>
          <w:numId w:val="29"/>
        </w:numPr>
        <w:spacing w:line="360" w:lineRule="auto"/>
        <w:jc w:val="both"/>
        <w:rPr>
          <w:rFonts w:ascii="Calibri" w:hAnsi="Calibri"/>
          <w:sz w:val="24"/>
          <w:szCs w:val="24"/>
        </w:rPr>
      </w:pPr>
      <w:r w:rsidRPr="00943717">
        <w:rPr>
          <w:rFonts w:ascii="Calibri" w:hAnsi="Calibri"/>
          <w:sz w:val="24"/>
          <w:szCs w:val="24"/>
        </w:rPr>
        <w:t>r</w:t>
      </w:r>
      <w:r w:rsidR="0015153A" w:rsidRPr="00943717">
        <w:rPr>
          <w:rFonts w:ascii="Calibri" w:hAnsi="Calibri"/>
          <w:sz w:val="24"/>
          <w:szCs w:val="24"/>
        </w:rPr>
        <w:t>estoration of the island allowance to teachers</w:t>
      </w:r>
      <w:r w:rsidRPr="00943717">
        <w:rPr>
          <w:rFonts w:ascii="Calibri" w:hAnsi="Calibri"/>
          <w:sz w:val="24"/>
          <w:szCs w:val="24"/>
        </w:rPr>
        <w:t>;</w:t>
      </w:r>
    </w:p>
    <w:p w14:paraId="5BE7743F" w14:textId="3347B67A" w:rsidR="0015153A" w:rsidRPr="00943717" w:rsidRDefault="00C82E3C" w:rsidP="00537F2A">
      <w:pPr>
        <w:pStyle w:val="ListParagraph"/>
        <w:numPr>
          <w:ilvl w:val="0"/>
          <w:numId w:val="29"/>
        </w:numPr>
        <w:spacing w:line="360" w:lineRule="auto"/>
        <w:jc w:val="both"/>
        <w:rPr>
          <w:rFonts w:ascii="Calibri" w:hAnsi="Calibri"/>
          <w:sz w:val="24"/>
          <w:szCs w:val="24"/>
        </w:rPr>
      </w:pPr>
      <w:r w:rsidRPr="00943717">
        <w:rPr>
          <w:rFonts w:ascii="Calibri" w:hAnsi="Calibri"/>
          <w:sz w:val="24"/>
          <w:szCs w:val="24"/>
        </w:rPr>
        <w:t>a</w:t>
      </w:r>
      <w:r w:rsidR="0015153A" w:rsidRPr="00943717">
        <w:rPr>
          <w:rFonts w:ascii="Calibri" w:hAnsi="Calibri"/>
          <w:sz w:val="24"/>
          <w:szCs w:val="24"/>
        </w:rPr>
        <w:t>dditional funding to island schools to take account of higher running costs</w:t>
      </w:r>
      <w:r w:rsidRPr="00943717">
        <w:rPr>
          <w:rFonts w:ascii="Calibri" w:hAnsi="Calibri"/>
          <w:sz w:val="24"/>
          <w:szCs w:val="24"/>
        </w:rPr>
        <w:t>;</w:t>
      </w:r>
    </w:p>
    <w:p w14:paraId="22F22E8E" w14:textId="2A9A6E56" w:rsidR="0015153A" w:rsidRPr="00943717" w:rsidRDefault="00C82E3C" w:rsidP="00537F2A">
      <w:pPr>
        <w:pStyle w:val="ListParagraph"/>
        <w:numPr>
          <w:ilvl w:val="0"/>
          <w:numId w:val="29"/>
        </w:numPr>
        <w:spacing w:line="360" w:lineRule="auto"/>
        <w:jc w:val="both"/>
        <w:rPr>
          <w:rFonts w:ascii="Calibri" w:hAnsi="Calibri"/>
          <w:sz w:val="24"/>
          <w:szCs w:val="24"/>
        </w:rPr>
      </w:pPr>
      <w:r w:rsidRPr="00943717">
        <w:rPr>
          <w:rFonts w:ascii="Calibri" w:hAnsi="Calibri"/>
          <w:sz w:val="24"/>
          <w:szCs w:val="24"/>
        </w:rPr>
        <w:t>a</w:t>
      </w:r>
      <w:r w:rsidR="0015153A" w:rsidRPr="00943717">
        <w:rPr>
          <w:rFonts w:ascii="Calibri" w:hAnsi="Calibri"/>
          <w:sz w:val="24"/>
          <w:szCs w:val="24"/>
        </w:rPr>
        <w:t>dditional teacher allocation above and beyond what is currently available, as to enable provision of as many subject options as possible</w:t>
      </w:r>
      <w:r w:rsidRPr="00943717">
        <w:rPr>
          <w:rFonts w:ascii="Calibri" w:hAnsi="Calibri"/>
          <w:sz w:val="24"/>
          <w:szCs w:val="24"/>
        </w:rPr>
        <w:t>;</w:t>
      </w:r>
    </w:p>
    <w:p w14:paraId="2CF23804" w14:textId="0EAAC6DF" w:rsidR="0015153A" w:rsidRPr="00943717" w:rsidRDefault="00C82E3C" w:rsidP="00537F2A">
      <w:pPr>
        <w:pStyle w:val="ListParagraph"/>
        <w:numPr>
          <w:ilvl w:val="0"/>
          <w:numId w:val="29"/>
        </w:numPr>
        <w:spacing w:line="360" w:lineRule="auto"/>
        <w:jc w:val="both"/>
        <w:rPr>
          <w:rFonts w:ascii="Calibri" w:hAnsi="Calibri"/>
          <w:sz w:val="24"/>
          <w:szCs w:val="24"/>
        </w:rPr>
      </w:pPr>
      <w:r w:rsidRPr="00943717">
        <w:rPr>
          <w:rFonts w:ascii="Calibri" w:hAnsi="Calibri"/>
          <w:sz w:val="24"/>
          <w:szCs w:val="24"/>
        </w:rPr>
        <w:t>t</w:t>
      </w:r>
      <w:r w:rsidR="0015153A" w:rsidRPr="00943717">
        <w:rPr>
          <w:rFonts w:ascii="Calibri" w:hAnsi="Calibri"/>
          <w:sz w:val="24"/>
          <w:szCs w:val="24"/>
        </w:rPr>
        <w:t>hat all island post-primary schools be awarded DEIS status if they wish</w:t>
      </w:r>
      <w:r w:rsidRPr="00943717">
        <w:rPr>
          <w:rFonts w:ascii="Calibri" w:hAnsi="Calibri"/>
          <w:sz w:val="24"/>
          <w:szCs w:val="24"/>
        </w:rPr>
        <w:t>.</w:t>
      </w:r>
    </w:p>
    <w:p w14:paraId="40D13911" w14:textId="358715EC" w:rsidR="0015153A" w:rsidRPr="00943717" w:rsidRDefault="0015153A" w:rsidP="00537F2A">
      <w:pPr>
        <w:spacing w:line="360" w:lineRule="auto"/>
        <w:jc w:val="both"/>
        <w:rPr>
          <w:rFonts w:ascii="Calibri" w:hAnsi="Calibri"/>
          <w:sz w:val="24"/>
          <w:szCs w:val="24"/>
        </w:rPr>
      </w:pPr>
    </w:p>
    <w:p w14:paraId="3F19CBD4" w14:textId="76B21E25" w:rsidR="0015153A" w:rsidRPr="00943717" w:rsidRDefault="0015153A" w:rsidP="00537F2A">
      <w:pPr>
        <w:spacing w:after="0" w:line="360" w:lineRule="auto"/>
        <w:jc w:val="both"/>
        <w:rPr>
          <w:rFonts w:ascii="Calibri" w:hAnsi="Calibri"/>
          <w:sz w:val="24"/>
          <w:szCs w:val="24"/>
        </w:rPr>
      </w:pPr>
      <w:r w:rsidRPr="00943717">
        <w:rPr>
          <w:rFonts w:ascii="Calibri" w:hAnsi="Calibri"/>
          <w:sz w:val="24"/>
          <w:szCs w:val="24"/>
        </w:rPr>
        <w:t xml:space="preserve">The TUI would also like to highlight the </w:t>
      </w:r>
      <w:r w:rsidR="00B87FC0" w:rsidRPr="00943717">
        <w:rPr>
          <w:rFonts w:ascii="Calibri" w:hAnsi="Calibri"/>
          <w:sz w:val="24"/>
          <w:szCs w:val="24"/>
        </w:rPr>
        <w:t>opening statement</w:t>
      </w:r>
      <w:r w:rsidRPr="00943717">
        <w:rPr>
          <w:rFonts w:ascii="Calibri" w:hAnsi="Calibri"/>
          <w:sz w:val="24"/>
          <w:szCs w:val="24"/>
        </w:rPr>
        <w:t xml:space="preserve"> it made</w:t>
      </w:r>
      <w:r w:rsidR="00C20EF7" w:rsidRPr="00943717">
        <w:rPr>
          <w:rFonts w:ascii="Calibri" w:hAnsi="Calibri"/>
          <w:sz w:val="24"/>
          <w:szCs w:val="24"/>
        </w:rPr>
        <w:t xml:space="preserve"> (TUI, 2018a)</w:t>
      </w:r>
      <w:r w:rsidR="00B87FC0" w:rsidRPr="00943717">
        <w:rPr>
          <w:rFonts w:ascii="Calibri" w:hAnsi="Calibri"/>
          <w:sz w:val="24"/>
          <w:szCs w:val="24"/>
        </w:rPr>
        <w:t>,</w:t>
      </w:r>
      <w:r w:rsidRPr="00943717">
        <w:rPr>
          <w:rFonts w:ascii="Calibri" w:hAnsi="Calibri"/>
          <w:sz w:val="24"/>
          <w:szCs w:val="24"/>
        </w:rPr>
        <w:t xml:space="preserve"> on August 2</w:t>
      </w:r>
      <w:r w:rsidR="00B87FC0" w:rsidRPr="00943717">
        <w:rPr>
          <w:rFonts w:ascii="Calibri" w:hAnsi="Calibri"/>
          <w:sz w:val="24"/>
          <w:szCs w:val="24"/>
        </w:rPr>
        <w:t>9</w:t>
      </w:r>
      <w:r w:rsidRPr="00943717">
        <w:rPr>
          <w:rFonts w:ascii="Calibri" w:hAnsi="Calibri"/>
          <w:sz w:val="24"/>
          <w:szCs w:val="24"/>
        </w:rPr>
        <w:t>th</w:t>
      </w:r>
      <w:proofErr w:type="gramStart"/>
      <w:r w:rsidRPr="00943717">
        <w:rPr>
          <w:rFonts w:ascii="Calibri" w:hAnsi="Calibri"/>
          <w:sz w:val="24"/>
          <w:szCs w:val="24"/>
        </w:rPr>
        <w:t xml:space="preserve"> 2018</w:t>
      </w:r>
      <w:proofErr w:type="gramEnd"/>
      <w:r w:rsidR="00B87FC0" w:rsidRPr="00943717">
        <w:rPr>
          <w:rFonts w:ascii="Calibri" w:hAnsi="Calibri"/>
          <w:sz w:val="24"/>
          <w:szCs w:val="24"/>
        </w:rPr>
        <w:t>,</w:t>
      </w:r>
      <w:r w:rsidRPr="00943717">
        <w:rPr>
          <w:rFonts w:ascii="Calibri" w:hAnsi="Calibri"/>
          <w:sz w:val="24"/>
          <w:szCs w:val="24"/>
        </w:rPr>
        <w:t xml:space="preserve"> to the Joint Oireachtas Committee on Education and Skills regarding ‘</w:t>
      </w:r>
      <w:bookmarkStart w:id="3" w:name="_Hlk522020899"/>
      <w:r w:rsidRPr="00943717">
        <w:rPr>
          <w:rFonts w:ascii="Calibri" w:hAnsi="Calibri"/>
          <w:sz w:val="24"/>
          <w:szCs w:val="24"/>
        </w:rPr>
        <w:t>school costs, school facilities and related matters</w:t>
      </w:r>
      <w:bookmarkEnd w:id="3"/>
      <w:r w:rsidRPr="00943717">
        <w:rPr>
          <w:rFonts w:ascii="Calibri" w:hAnsi="Calibri"/>
          <w:sz w:val="24"/>
          <w:szCs w:val="24"/>
        </w:rPr>
        <w:t>’</w:t>
      </w:r>
      <w:r w:rsidR="00B87FC0" w:rsidRPr="00943717">
        <w:rPr>
          <w:rFonts w:ascii="Calibri" w:hAnsi="Calibri"/>
          <w:sz w:val="24"/>
          <w:szCs w:val="24"/>
        </w:rPr>
        <w:t>.  An important part of that opening statement made clear that there is an additional cost associated with building and renovating school premises in remote areas and that the national norms for building costs may not be applicable to island schools.  In the context of costs, it is also important to note that ETB schools cannot avail of the Gaeltacht capitation rate of €103 per student, even though voluntary secondary schools in the same area do qualify for this important financial support to schools (DES circular 29/2016).</w:t>
      </w:r>
    </w:p>
    <w:p w14:paraId="77A67EF2" w14:textId="4960F92F" w:rsidR="00B87FC0" w:rsidRPr="00943717" w:rsidRDefault="00B87FC0" w:rsidP="00537F2A">
      <w:pPr>
        <w:spacing w:after="0" w:line="360" w:lineRule="auto"/>
        <w:jc w:val="both"/>
        <w:rPr>
          <w:rFonts w:ascii="Calibri" w:hAnsi="Calibri"/>
          <w:sz w:val="24"/>
          <w:szCs w:val="24"/>
        </w:rPr>
      </w:pPr>
    </w:p>
    <w:p w14:paraId="28444FE0" w14:textId="5EF2B589" w:rsidR="00B87FC0" w:rsidRPr="00943717" w:rsidRDefault="00B87FC0" w:rsidP="00537F2A">
      <w:pPr>
        <w:spacing w:after="0" w:line="360" w:lineRule="auto"/>
        <w:jc w:val="both"/>
        <w:rPr>
          <w:rFonts w:ascii="Calibri" w:hAnsi="Calibri"/>
          <w:sz w:val="24"/>
          <w:szCs w:val="24"/>
        </w:rPr>
      </w:pPr>
      <w:r w:rsidRPr="00943717">
        <w:rPr>
          <w:rFonts w:ascii="Calibri" w:hAnsi="Calibri"/>
          <w:sz w:val="24"/>
          <w:szCs w:val="24"/>
        </w:rPr>
        <w:t>In addition to the above the TU</w:t>
      </w:r>
      <w:r w:rsidR="00C82E3C" w:rsidRPr="00943717">
        <w:rPr>
          <w:rFonts w:ascii="Calibri" w:hAnsi="Calibri"/>
          <w:sz w:val="24"/>
          <w:szCs w:val="24"/>
        </w:rPr>
        <w:t>I</w:t>
      </w:r>
      <w:r w:rsidRPr="00943717">
        <w:rPr>
          <w:rFonts w:ascii="Calibri" w:hAnsi="Calibri"/>
          <w:sz w:val="24"/>
          <w:szCs w:val="24"/>
        </w:rPr>
        <w:t xml:space="preserve"> would ask that the </w:t>
      </w:r>
      <w:r w:rsidR="007A2296" w:rsidRPr="00943717">
        <w:rPr>
          <w:rFonts w:ascii="Calibri" w:hAnsi="Calibri"/>
          <w:sz w:val="24"/>
          <w:szCs w:val="24"/>
        </w:rPr>
        <w:t>I</w:t>
      </w:r>
      <w:r w:rsidRPr="00943717">
        <w:rPr>
          <w:rFonts w:ascii="Calibri" w:hAnsi="Calibri"/>
          <w:sz w:val="24"/>
          <w:szCs w:val="24"/>
        </w:rPr>
        <w:t xml:space="preserve">nterdepartmental </w:t>
      </w:r>
      <w:r w:rsidR="007A2296" w:rsidRPr="00943717">
        <w:rPr>
          <w:rFonts w:ascii="Calibri" w:hAnsi="Calibri"/>
          <w:sz w:val="24"/>
          <w:szCs w:val="24"/>
        </w:rPr>
        <w:t>C</w:t>
      </w:r>
      <w:r w:rsidRPr="00943717">
        <w:rPr>
          <w:rFonts w:ascii="Calibri" w:hAnsi="Calibri"/>
          <w:sz w:val="24"/>
          <w:szCs w:val="24"/>
        </w:rPr>
        <w:t xml:space="preserve">ommittee examine whether all island schools currently qualify for small school status.  </w:t>
      </w:r>
      <w:r w:rsidR="003630F0">
        <w:rPr>
          <w:rFonts w:ascii="Calibri" w:hAnsi="Calibri"/>
          <w:sz w:val="24"/>
          <w:szCs w:val="24"/>
        </w:rPr>
        <w:t>A</w:t>
      </w:r>
      <w:r w:rsidRPr="00943717">
        <w:rPr>
          <w:rFonts w:ascii="Calibri" w:hAnsi="Calibri"/>
          <w:sz w:val="24"/>
          <w:szCs w:val="24"/>
        </w:rPr>
        <w:t xml:space="preserve">t least two post-primary </w:t>
      </w:r>
      <w:r w:rsidRPr="00943717">
        <w:rPr>
          <w:rFonts w:ascii="Calibri" w:hAnsi="Calibri"/>
          <w:sz w:val="24"/>
          <w:szCs w:val="24"/>
        </w:rPr>
        <w:lastRenderedPageBreak/>
        <w:t>island schools with approximately thirty students each do not currently qualify for small school status</w:t>
      </w:r>
      <w:r w:rsidR="003630F0">
        <w:rPr>
          <w:rFonts w:ascii="Calibri" w:hAnsi="Calibri"/>
          <w:sz w:val="24"/>
          <w:szCs w:val="24"/>
        </w:rPr>
        <w:t>.  This is</w:t>
      </w:r>
      <w:r w:rsidR="00126A23" w:rsidRPr="00943717">
        <w:rPr>
          <w:rFonts w:ascii="Calibri" w:hAnsi="Calibri"/>
          <w:sz w:val="24"/>
          <w:szCs w:val="24"/>
        </w:rPr>
        <w:t xml:space="preserve"> grossly unfa</w:t>
      </w:r>
      <w:r w:rsidR="003630F0">
        <w:rPr>
          <w:rFonts w:ascii="Calibri" w:hAnsi="Calibri"/>
          <w:sz w:val="24"/>
          <w:szCs w:val="24"/>
        </w:rPr>
        <w:t>ir</w:t>
      </w:r>
      <w:r w:rsidR="00126A23" w:rsidRPr="00943717">
        <w:rPr>
          <w:rFonts w:ascii="Calibri" w:hAnsi="Calibri"/>
          <w:sz w:val="24"/>
          <w:szCs w:val="24"/>
        </w:rPr>
        <w:t>.</w:t>
      </w:r>
    </w:p>
    <w:p w14:paraId="1D20BAC6" w14:textId="0BA9FADA" w:rsidR="00126A23" w:rsidRPr="00943717" w:rsidRDefault="00126A23" w:rsidP="00537F2A">
      <w:pPr>
        <w:spacing w:after="0" w:line="360" w:lineRule="auto"/>
        <w:jc w:val="both"/>
        <w:rPr>
          <w:rFonts w:ascii="Calibri" w:hAnsi="Calibri"/>
          <w:sz w:val="24"/>
          <w:szCs w:val="24"/>
        </w:rPr>
      </w:pPr>
    </w:p>
    <w:p w14:paraId="04793BBB" w14:textId="23904F72" w:rsidR="00126A23" w:rsidRPr="00943717" w:rsidRDefault="00126A23" w:rsidP="00537F2A">
      <w:pPr>
        <w:autoSpaceDE w:val="0"/>
        <w:autoSpaceDN w:val="0"/>
        <w:adjustRightInd w:val="0"/>
        <w:spacing w:after="0" w:line="360" w:lineRule="auto"/>
        <w:jc w:val="both"/>
        <w:rPr>
          <w:rFonts w:ascii="Calibri" w:hAnsi="Calibri"/>
          <w:sz w:val="24"/>
          <w:szCs w:val="24"/>
        </w:rPr>
      </w:pPr>
      <w:r w:rsidRPr="00943717">
        <w:rPr>
          <w:rFonts w:ascii="Calibri" w:hAnsi="Calibri"/>
          <w:sz w:val="24"/>
          <w:szCs w:val="24"/>
        </w:rPr>
        <w:t>The TU</w:t>
      </w:r>
      <w:r w:rsidR="00C82E3C" w:rsidRPr="00943717">
        <w:rPr>
          <w:rFonts w:ascii="Calibri" w:hAnsi="Calibri"/>
          <w:sz w:val="24"/>
          <w:szCs w:val="24"/>
        </w:rPr>
        <w:t>I</w:t>
      </w:r>
      <w:r w:rsidRPr="00943717">
        <w:rPr>
          <w:rFonts w:ascii="Calibri" w:hAnsi="Calibri"/>
          <w:sz w:val="24"/>
          <w:szCs w:val="24"/>
        </w:rPr>
        <w:t xml:space="preserve"> would also like to draw the attention of the </w:t>
      </w:r>
      <w:r w:rsidR="007A2296" w:rsidRPr="00943717">
        <w:rPr>
          <w:rFonts w:ascii="Calibri" w:hAnsi="Calibri"/>
          <w:sz w:val="24"/>
          <w:szCs w:val="24"/>
        </w:rPr>
        <w:t>I</w:t>
      </w:r>
      <w:r w:rsidRPr="00943717">
        <w:rPr>
          <w:rFonts w:ascii="Calibri" w:hAnsi="Calibri"/>
          <w:sz w:val="24"/>
          <w:szCs w:val="24"/>
        </w:rPr>
        <w:t xml:space="preserve">nterdepartmental </w:t>
      </w:r>
      <w:r w:rsidR="007A2296" w:rsidRPr="00943717">
        <w:rPr>
          <w:rFonts w:ascii="Calibri" w:hAnsi="Calibri"/>
          <w:sz w:val="24"/>
          <w:szCs w:val="24"/>
        </w:rPr>
        <w:t>C</w:t>
      </w:r>
      <w:r w:rsidRPr="00943717">
        <w:rPr>
          <w:rFonts w:ascii="Calibri" w:hAnsi="Calibri"/>
          <w:sz w:val="24"/>
          <w:szCs w:val="24"/>
        </w:rPr>
        <w:t>ommittee to research carried out by The Bridge Group in the UK into the matter of geographical isolation.  Bridge Group (2019: 5) stated that</w:t>
      </w:r>
    </w:p>
    <w:p w14:paraId="7EAE0F79" w14:textId="39F518AD" w:rsidR="00126A23" w:rsidRPr="00943717" w:rsidRDefault="00126A23" w:rsidP="00537F2A">
      <w:pPr>
        <w:autoSpaceDE w:val="0"/>
        <w:autoSpaceDN w:val="0"/>
        <w:adjustRightInd w:val="0"/>
        <w:spacing w:after="0" w:line="360" w:lineRule="auto"/>
        <w:jc w:val="both"/>
        <w:rPr>
          <w:rFonts w:ascii="Calibri" w:hAnsi="Calibri" w:cs="Arial"/>
          <w:sz w:val="24"/>
          <w:szCs w:val="24"/>
        </w:rPr>
      </w:pPr>
      <w:r w:rsidRPr="00943717">
        <w:rPr>
          <w:rFonts w:ascii="Calibri" w:hAnsi="Calibri" w:cs="Arial"/>
          <w:sz w:val="24"/>
          <w:szCs w:val="24"/>
        </w:rPr>
        <w:t>“Students from lower socio-economic backgrounds living at a distance from higher education institutions, who do not have the option to commute, are faced with more complex decision-making around participation.</w:t>
      </w:r>
    </w:p>
    <w:p w14:paraId="13092429" w14:textId="0AC070FA" w:rsidR="00126A23" w:rsidRPr="00943717" w:rsidRDefault="00126A23" w:rsidP="00537F2A">
      <w:pPr>
        <w:spacing w:after="0" w:line="360" w:lineRule="auto"/>
        <w:jc w:val="both"/>
        <w:rPr>
          <w:rFonts w:ascii="Calibri" w:hAnsi="Calibri" w:cs="Arial"/>
          <w:sz w:val="24"/>
          <w:szCs w:val="24"/>
        </w:rPr>
      </w:pPr>
      <w:r w:rsidRPr="00943717">
        <w:rPr>
          <w:rFonts w:ascii="Calibri" w:hAnsi="Calibri" w:cs="Arial"/>
          <w:sz w:val="24"/>
          <w:szCs w:val="24"/>
        </w:rPr>
        <w:t>Deprivation indices have been consistently shown to be dominated by the characteristics of urban populations and are less able to describe rural deprivation.”</w:t>
      </w:r>
    </w:p>
    <w:p w14:paraId="6A6D6910" w14:textId="77777777" w:rsidR="00C20EF7" w:rsidRPr="00943717" w:rsidRDefault="00126A23" w:rsidP="00537F2A">
      <w:pPr>
        <w:spacing w:after="0" w:line="360" w:lineRule="auto"/>
        <w:jc w:val="both"/>
        <w:rPr>
          <w:rFonts w:ascii="Calibri" w:hAnsi="Calibri" w:cs="Arial"/>
          <w:sz w:val="24"/>
          <w:szCs w:val="24"/>
        </w:rPr>
      </w:pPr>
      <w:r w:rsidRPr="00943717">
        <w:rPr>
          <w:rFonts w:ascii="Calibri" w:hAnsi="Calibri" w:cs="Arial"/>
          <w:sz w:val="24"/>
          <w:szCs w:val="24"/>
        </w:rPr>
        <w:t xml:space="preserve">The same study also noted difficulties in recruiting and retaining teachers in isolated schools.  </w:t>
      </w:r>
    </w:p>
    <w:p w14:paraId="15B25583" w14:textId="70A6463B" w:rsidR="00C20EF7" w:rsidRPr="00B45B26" w:rsidRDefault="00C20EF7" w:rsidP="00C20EF7">
      <w:pPr>
        <w:spacing w:after="0" w:line="360" w:lineRule="auto"/>
        <w:jc w:val="both"/>
        <w:rPr>
          <w:rFonts w:ascii="Calibri" w:hAnsi="Calibri" w:cs="Arial"/>
          <w:sz w:val="24"/>
          <w:szCs w:val="24"/>
        </w:rPr>
      </w:pPr>
      <w:r w:rsidRPr="00943717">
        <w:rPr>
          <w:rFonts w:ascii="Calibri" w:hAnsi="Calibri" w:cs="Arial"/>
          <w:sz w:val="24"/>
          <w:szCs w:val="24"/>
        </w:rPr>
        <w:t>The TUI (2018b) has previously made a submission to the Joint Oireachtas Committee on Education and Skills, when it was studying teacher shortages, highlighting the difficulties of recruiting and retaining teachers throughout Ireland due to unfair and inadequate pay rates.  These problems are even more acute in island communities</w:t>
      </w:r>
      <w:r w:rsidR="00B45B26">
        <w:rPr>
          <w:rFonts w:ascii="Calibri" w:hAnsi="Calibri" w:cs="Arial"/>
          <w:sz w:val="24"/>
          <w:szCs w:val="24"/>
        </w:rPr>
        <w:t xml:space="preserve"> where demography is often creating difficulties for the entire community</w:t>
      </w:r>
      <w:r w:rsidRPr="00943717">
        <w:rPr>
          <w:rFonts w:ascii="Calibri" w:hAnsi="Calibri" w:cs="Arial"/>
          <w:sz w:val="24"/>
          <w:szCs w:val="24"/>
        </w:rPr>
        <w:t>.</w:t>
      </w:r>
      <w:r w:rsidR="00B45B26">
        <w:rPr>
          <w:rFonts w:ascii="Calibri" w:hAnsi="Calibri" w:cs="Arial"/>
          <w:sz w:val="24"/>
          <w:szCs w:val="24"/>
        </w:rPr>
        <w:t xml:space="preserve">  This also has an impact on schools as </w:t>
      </w:r>
      <w:r w:rsidR="00B45B26" w:rsidRPr="00B45B26">
        <w:rPr>
          <w:rFonts w:ascii="Calibri" w:hAnsi="Calibri" w:cs="Arial"/>
          <w:sz w:val="24"/>
          <w:szCs w:val="24"/>
        </w:rPr>
        <w:t>they may have an obligation to provide education to their students both through the medium of Irish and English. In this dual service situation, it is imperative that staffing be increased to allow for dual provision.</w:t>
      </w:r>
    </w:p>
    <w:p w14:paraId="64DFD983" w14:textId="77777777" w:rsidR="00C20EF7" w:rsidRPr="00943717" w:rsidRDefault="00C20EF7" w:rsidP="00537F2A">
      <w:pPr>
        <w:spacing w:after="0" w:line="360" w:lineRule="auto"/>
        <w:jc w:val="both"/>
        <w:rPr>
          <w:rFonts w:ascii="Calibri" w:hAnsi="Calibri" w:cs="Arial"/>
          <w:sz w:val="24"/>
          <w:szCs w:val="24"/>
        </w:rPr>
      </w:pPr>
    </w:p>
    <w:p w14:paraId="295F8EAC" w14:textId="415B9A79" w:rsidR="00C20EF7" w:rsidRPr="00943717" w:rsidRDefault="00C20EF7" w:rsidP="00537F2A">
      <w:pPr>
        <w:spacing w:after="0" w:line="360" w:lineRule="auto"/>
        <w:jc w:val="both"/>
        <w:rPr>
          <w:sz w:val="24"/>
          <w:szCs w:val="24"/>
        </w:rPr>
      </w:pPr>
      <w:r w:rsidRPr="00943717">
        <w:rPr>
          <w:rFonts w:ascii="Calibri" w:hAnsi="Calibri" w:cs="Arial"/>
          <w:sz w:val="24"/>
          <w:szCs w:val="24"/>
        </w:rPr>
        <w:t xml:space="preserve">In the context of the Bridge </w:t>
      </w:r>
      <w:r w:rsidR="006E4096">
        <w:rPr>
          <w:rFonts w:ascii="Calibri" w:hAnsi="Calibri" w:cs="Arial"/>
          <w:sz w:val="24"/>
          <w:szCs w:val="24"/>
        </w:rPr>
        <w:t>G</w:t>
      </w:r>
      <w:r w:rsidRPr="00943717">
        <w:rPr>
          <w:rFonts w:ascii="Calibri" w:hAnsi="Calibri" w:cs="Arial"/>
          <w:sz w:val="24"/>
          <w:szCs w:val="24"/>
        </w:rPr>
        <w:t>roup study, it should also be noted that</w:t>
      </w:r>
      <w:r w:rsidRPr="00943717">
        <w:rPr>
          <w:sz w:val="24"/>
          <w:szCs w:val="24"/>
        </w:rPr>
        <w:t xml:space="preserve"> 56-61% of students from disadvantaged backgrounds attend non-DEIS schools (</w:t>
      </w:r>
      <w:proofErr w:type="spellStart"/>
      <w:r w:rsidRPr="00943717">
        <w:rPr>
          <w:sz w:val="24"/>
          <w:szCs w:val="24"/>
        </w:rPr>
        <w:t>Barnardos</w:t>
      </w:r>
      <w:proofErr w:type="spellEnd"/>
      <w:r w:rsidRPr="00943717">
        <w:rPr>
          <w:sz w:val="24"/>
          <w:szCs w:val="24"/>
        </w:rPr>
        <w:t>, 2009) so the needs of those schools also must be recognised.</w:t>
      </w:r>
    </w:p>
    <w:p w14:paraId="2A9BE3E8" w14:textId="77777777" w:rsidR="00C20EF7" w:rsidRPr="003630F0" w:rsidRDefault="00C20EF7" w:rsidP="003630F0">
      <w:pPr>
        <w:spacing w:after="0" w:line="360" w:lineRule="auto"/>
        <w:jc w:val="both"/>
        <w:rPr>
          <w:rFonts w:ascii="Calibri" w:hAnsi="Calibri" w:cs="Arial"/>
          <w:sz w:val="24"/>
          <w:szCs w:val="24"/>
        </w:rPr>
      </w:pPr>
    </w:p>
    <w:p w14:paraId="3449A1F1" w14:textId="0DA68747" w:rsidR="003630F0" w:rsidRPr="003630F0" w:rsidRDefault="003630F0" w:rsidP="003630F0">
      <w:pPr>
        <w:autoSpaceDE w:val="0"/>
        <w:autoSpaceDN w:val="0"/>
        <w:adjustRightInd w:val="0"/>
        <w:spacing w:after="0" w:line="360" w:lineRule="auto"/>
        <w:jc w:val="both"/>
        <w:rPr>
          <w:rFonts w:ascii="Calibri" w:hAnsi="Calibri" w:cs="Arial"/>
          <w:sz w:val="24"/>
          <w:szCs w:val="24"/>
        </w:rPr>
      </w:pPr>
      <w:r w:rsidRPr="003630F0">
        <w:rPr>
          <w:rFonts w:ascii="Calibri" w:hAnsi="Calibri" w:cs="Arial"/>
          <w:sz w:val="24"/>
          <w:szCs w:val="24"/>
        </w:rPr>
        <w:t xml:space="preserve">Many island schools </w:t>
      </w:r>
      <w:proofErr w:type="gramStart"/>
      <w:r w:rsidRPr="003630F0">
        <w:rPr>
          <w:rFonts w:ascii="Calibri" w:hAnsi="Calibri" w:cs="Arial"/>
          <w:sz w:val="24"/>
          <w:szCs w:val="24"/>
        </w:rPr>
        <w:t>are located in</w:t>
      </w:r>
      <w:proofErr w:type="gramEnd"/>
      <w:r w:rsidRPr="003630F0">
        <w:rPr>
          <w:rFonts w:ascii="Calibri" w:hAnsi="Calibri" w:cs="Arial"/>
          <w:sz w:val="24"/>
          <w:szCs w:val="24"/>
        </w:rPr>
        <w:t xml:space="preserve"> Gaeltacht regions.  It is important to note that DES (2016: 15 clearly identified “the increasingly fragile status of Irish in</w:t>
      </w:r>
      <w:r>
        <w:rPr>
          <w:rFonts w:ascii="Calibri" w:hAnsi="Calibri" w:cs="Arial"/>
          <w:sz w:val="24"/>
          <w:szCs w:val="24"/>
        </w:rPr>
        <w:t xml:space="preserve"> </w:t>
      </w:r>
      <w:r w:rsidRPr="003630F0">
        <w:rPr>
          <w:rFonts w:ascii="Calibri" w:hAnsi="Calibri" w:cs="Arial"/>
          <w:sz w:val="24"/>
          <w:szCs w:val="24"/>
        </w:rPr>
        <w:t>Gaeltacht areas and schools”.  DES (2016: 20) promised the “opportunity to avail of additional teaching resources through the placement, on an ex-quota basis, of</w:t>
      </w:r>
      <w:r>
        <w:rPr>
          <w:rFonts w:ascii="Calibri" w:hAnsi="Calibri" w:cs="Arial"/>
          <w:sz w:val="24"/>
          <w:szCs w:val="24"/>
        </w:rPr>
        <w:t xml:space="preserve"> </w:t>
      </w:r>
      <w:r w:rsidRPr="003630F0">
        <w:rPr>
          <w:rFonts w:ascii="Calibri" w:hAnsi="Calibri" w:cs="Arial"/>
          <w:sz w:val="24"/>
          <w:szCs w:val="24"/>
        </w:rPr>
        <w:t>newly-qualified graduates, for one year, from Irish-medium initial teacher education programmes in</w:t>
      </w:r>
      <w:r>
        <w:rPr>
          <w:rFonts w:ascii="Calibri" w:hAnsi="Calibri" w:cs="Arial"/>
          <w:sz w:val="24"/>
          <w:szCs w:val="24"/>
        </w:rPr>
        <w:t xml:space="preserve"> </w:t>
      </w:r>
      <w:r w:rsidRPr="003630F0">
        <w:rPr>
          <w:rFonts w:ascii="Calibri" w:hAnsi="Calibri" w:cs="Arial"/>
          <w:sz w:val="24"/>
          <w:szCs w:val="24"/>
        </w:rPr>
        <w:t xml:space="preserve">Gaeltacht primary and post-primary schools”.  Despite repeated calls by the TUI, this recommendation appears unlikely to be </w:t>
      </w:r>
      <w:r w:rsidR="00670062">
        <w:rPr>
          <w:rFonts w:ascii="Calibri" w:hAnsi="Calibri" w:cs="Arial"/>
          <w:sz w:val="24"/>
          <w:szCs w:val="24"/>
        </w:rPr>
        <w:t xml:space="preserve">fully </w:t>
      </w:r>
      <w:r w:rsidRPr="003630F0">
        <w:rPr>
          <w:rFonts w:ascii="Calibri" w:hAnsi="Calibri" w:cs="Arial"/>
          <w:sz w:val="24"/>
          <w:szCs w:val="24"/>
        </w:rPr>
        <w:lastRenderedPageBreak/>
        <w:t xml:space="preserve">implemented </w:t>
      </w:r>
      <w:r w:rsidR="00670062">
        <w:rPr>
          <w:rFonts w:ascii="Calibri" w:hAnsi="Calibri" w:cs="Arial"/>
          <w:sz w:val="24"/>
          <w:szCs w:val="24"/>
        </w:rPr>
        <w:t>in the immediate future though there was partial implementation following a DES announcement in June 2018</w:t>
      </w:r>
      <w:r w:rsidRPr="003630F0">
        <w:rPr>
          <w:rFonts w:ascii="Calibri" w:hAnsi="Calibri" w:cs="Arial"/>
          <w:sz w:val="24"/>
          <w:szCs w:val="24"/>
        </w:rPr>
        <w:t>.</w:t>
      </w:r>
    </w:p>
    <w:p w14:paraId="481C7EEF" w14:textId="77777777" w:rsidR="003630F0" w:rsidRPr="003630F0" w:rsidRDefault="003630F0" w:rsidP="003630F0">
      <w:pPr>
        <w:spacing w:line="360" w:lineRule="auto"/>
        <w:jc w:val="both"/>
        <w:rPr>
          <w:rFonts w:ascii="Calibri" w:hAnsi="Calibri" w:cs="Arial"/>
          <w:sz w:val="24"/>
          <w:szCs w:val="24"/>
        </w:rPr>
      </w:pPr>
    </w:p>
    <w:p w14:paraId="7A0DC925" w14:textId="07D66CE7" w:rsidR="000E0247" w:rsidRPr="00943717" w:rsidRDefault="00605718" w:rsidP="003630F0">
      <w:pPr>
        <w:spacing w:line="360" w:lineRule="auto"/>
        <w:jc w:val="both"/>
        <w:rPr>
          <w:rFonts w:ascii="Calibri" w:eastAsia="ArialMT" w:hAnsi="Calibri" w:cs="Arial"/>
          <w:b/>
          <w:sz w:val="24"/>
          <w:szCs w:val="24"/>
          <w:u w:val="single"/>
        </w:rPr>
      </w:pPr>
      <w:r w:rsidRPr="00943717">
        <w:rPr>
          <w:rFonts w:ascii="Calibri" w:eastAsia="ArialMT" w:hAnsi="Calibri" w:cs="Arial"/>
          <w:b/>
          <w:sz w:val="24"/>
          <w:szCs w:val="24"/>
          <w:u w:val="single"/>
        </w:rPr>
        <w:t>Conclu</w:t>
      </w:r>
      <w:r w:rsidR="000E0247" w:rsidRPr="00943717">
        <w:rPr>
          <w:rFonts w:ascii="Calibri" w:eastAsia="ArialMT" w:hAnsi="Calibri" w:cs="Arial"/>
          <w:b/>
          <w:sz w:val="24"/>
          <w:szCs w:val="24"/>
          <w:u w:val="single"/>
        </w:rPr>
        <w:t>sion</w:t>
      </w:r>
    </w:p>
    <w:p w14:paraId="7DEA8D58" w14:textId="19EE1E75" w:rsidR="000E0247" w:rsidRPr="00943717" w:rsidRDefault="00405AA8" w:rsidP="00537F2A">
      <w:pPr>
        <w:spacing w:line="360" w:lineRule="auto"/>
        <w:jc w:val="both"/>
        <w:rPr>
          <w:rFonts w:ascii="Calibri" w:hAnsi="Calibri"/>
          <w:sz w:val="24"/>
          <w:szCs w:val="24"/>
        </w:rPr>
      </w:pPr>
      <w:r w:rsidRPr="00943717">
        <w:rPr>
          <w:rFonts w:ascii="Calibri" w:hAnsi="Calibri"/>
          <w:sz w:val="24"/>
          <w:szCs w:val="24"/>
        </w:rPr>
        <w:t>The TU</w:t>
      </w:r>
      <w:r w:rsidR="00821106" w:rsidRPr="00943717">
        <w:rPr>
          <w:rFonts w:ascii="Calibri" w:hAnsi="Calibri"/>
          <w:sz w:val="24"/>
          <w:szCs w:val="24"/>
        </w:rPr>
        <w:t>I</w:t>
      </w:r>
      <w:r w:rsidRPr="00943717">
        <w:rPr>
          <w:rFonts w:ascii="Calibri" w:hAnsi="Calibri"/>
          <w:sz w:val="24"/>
          <w:szCs w:val="24"/>
        </w:rPr>
        <w:t xml:space="preserve"> welcomes this </w:t>
      </w:r>
      <w:r w:rsidR="00C82E3C" w:rsidRPr="00943717">
        <w:rPr>
          <w:rFonts w:ascii="Calibri" w:hAnsi="Calibri"/>
          <w:sz w:val="24"/>
          <w:szCs w:val="24"/>
        </w:rPr>
        <w:t>initiative by the Minister.  The TUI believes that education should be a key factor in deliberations of the committee and that the following factors are particularly important:</w:t>
      </w:r>
    </w:p>
    <w:p w14:paraId="5F131D68" w14:textId="612F4F8E" w:rsidR="00C82E3C" w:rsidRPr="00943717" w:rsidRDefault="00C82E3C" w:rsidP="00537F2A">
      <w:pPr>
        <w:pStyle w:val="ListParagraph"/>
        <w:numPr>
          <w:ilvl w:val="0"/>
          <w:numId w:val="28"/>
        </w:numPr>
        <w:spacing w:line="360" w:lineRule="auto"/>
        <w:jc w:val="both"/>
        <w:rPr>
          <w:rFonts w:ascii="Calibri" w:hAnsi="Calibri"/>
          <w:sz w:val="24"/>
          <w:szCs w:val="24"/>
        </w:rPr>
      </w:pPr>
      <w:r w:rsidRPr="00943717">
        <w:rPr>
          <w:rFonts w:ascii="Calibri" w:hAnsi="Calibri"/>
          <w:sz w:val="24"/>
          <w:szCs w:val="24"/>
        </w:rPr>
        <w:t>teacher allocation;</w:t>
      </w:r>
    </w:p>
    <w:p w14:paraId="432D77FD" w14:textId="34BE8150" w:rsidR="00C82E3C" w:rsidRPr="00943717" w:rsidRDefault="00C82E3C" w:rsidP="00537F2A">
      <w:pPr>
        <w:pStyle w:val="ListParagraph"/>
        <w:numPr>
          <w:ilvl w:val="0"/>
          <w:numId w:val="28"/>
        </w:numPr>
        <w:spacing w:line="360" w:lineRule="auto"/>
        <w:jc w:val="both"/>
        <w:rPr>
          <w:rFonts w:ascii="Calibri" w:hAnsi="Calibri"/>
          <w:sz w:val="24"/>
          <w:szCs w:val="24"/>
        </w:rPr>
      </w:pPr>
      <w:r w:rsidRPr="00943717">
        <w:rPr>
          <w:rFonts w:ascii="Calibri" w:hAnsi="Calibri"/>
          <w:sz w:val="24"/>
          <w:szCs w:val="24"/>
        </w:rPr>
        <w:t>teacher pay rates;</w:t>
      </w:r>
    </w:p>
    <w:p w14:paraId="7B2C177C" w14:textId="6F2B8936" w:rsidR="00C82E3C" w:rsidRPr="00943717" w:rsidRDefault="00C82E3C" w:rsidP="00537F2A">
      <w:pPr>
        <w:pStyle w:val="ListParagraph"/>
        <w:numPr>
          <w:ilvl w:val="0"/>
          <w:numId w:val="28"/>
        </w:numPr>
        <w:spacing w:line="360" w:lineRule="auto"/>
        <w:jc w:val="both"/>
        <w:rPr>
          <w:rFonts w:ascii="Calibri" w:hAnsi="Calibri"/>
          <w:sz w:val="24"/>
          <w:szCs w:val="24"/>
        </w:rPr>
      </w:pPr>
      <w:r w:rsidRPr="00943717">
        <w:rPr>
          <w:rFonts w:ascii="Calibri" w:hAnsi="Calibri"/>
          <w:sz w:val="24"/>
          <w:szCs w:val="24"/>
        </w:rPr>
        <w:t>capitation rates;</w:t>
      </w:r>
    </w:p>
    <w:p w14:paraId="66FAE944" w14:textId="0464D4C1" w:rsidR="00C82E3C" w:rsidRPr="00943717" w:rsidRDefault="00C82E3C" w:rsidP="00537F2A">
      <w:pPr>
        <w:pStyle w:val="ListParagraph"/>
        <w:numPr>
          <w:ilvl w:val="0"/>
          <w:numId w:val="28"/>
        </w:numPr>
        <w:spacing w:line="360" w:lineRule="auto"/>
        <w:jc w:val="both"/>
        <w:rPr>
          <w:rFonts w:ascii="Calibri" w:hAnsi="Calibri"/>
          <w:sz w:val="24"/>
          <w:szCs w:val="24"/>
        </w:rPr>
      </w:pPr>
      <w:r w:rsidRPr="00943717">
        <w:rPr>
          <w:rFonts w:ascii="Calibri" w:hAnsi="Calibri"/>
          <w:sz w:val="24"/>
          <w:szCs w:val="24"/>
        </w:rPr>
        <w:t>DEIS status;</w:t>
      </w:r>
    </w:p>
    <w:p w14:paraId="5179B99D" w14:textId="347419FD" w:rsidR="00C82E3C" w:rsidRPr="00943717" w:rsidRDefault="00C82E3C" w:rsidP="00537F2A">
      <w:pPr>
        <w:pStyle w:val="ListParagraph"/>
        <w:numPr>
          <w:ilvl w:val="0"/>
          <w:numId w:val="28"/>
        </w:numPr>
        <w:spacing w:line="360" w:lineRule="auto"/>
        <w:jc w:val="both"/>
        <w:rPr>
          <w:rFonts w:ascii="Calibri" w:hAnsi="Calibri"/>
          <w:sz w:val="24"/>
          <w:szCs w:val="24"/>
        </w:rPr>
      </w:pPr>
      <w:r w:rsidRPr="00943717">
        <w:rPr>
          <w:rFonts w:ascii="Calibri" w:hAnsi="Calibri"/>
          <w:sz w:val="24"/>
          <w:szCs w:val="24"/>
        </w:rPr>
        <w:t>small school status.</w:t>
      </w:r>
    </w:p>
    <w:p w14:paraId="2A3D6161" w14:textId="77777777" w:rsidR="000E0247" w:rsidRPr="00943717" w:rsidRDefault="000E0247" w:rsidP="00537F2A">
      <w:pPr>
        <w:spacing w:line="360" w:lineRule="auto"/>
        <w:jc w:val="both"/>
        <w:rPr>
          <w:rFonts w:ascii="Calibri" w:hAnsi="Calibri"/>
          <w:sz w:val="24"/>
          <w:szCs w:val="24"/>
        </w:rPr>
      </w:pPr>
    </w:p>
    <w:p w14:paraId="0FCD9C2F" w14:textId="77777777" w:rsidR="00E73014" w:rsidRPr="00943717" w:rsidRDefault="00E73014" w:rsidP="00537F2A">
      <w:pPr>
        <w:spacing w:line="360" w:lineRule="auto"/>
        <w:jc w:val="both"/>
        <w:rPr>
          <w:rFonts w:ascii="Calibri" w:hAnsi="Calibri"/>
          <w:b/>
          <w:sz w:val="24"/>
          <w:szCs w:val="24"/>
        </w:rPr>
      </w:pPr>
      <w:r w:rsidRPr="00943717">
        <w:rPr>
          <w:rFonts w:ascii="Calibri" w:hAnsi="Calibri"/>
          <w:b/>
          <w:sz w:val="24"/>
          <w:szCs w:val="24"/>
        </w:rPr>
        <w:t xml:space="preserve">Ends </w:t>
      </w:r>
    </w:p>
    <w:p w14:paraId="5DED77A9" w14:textId="77777777" w:rsidR="00E73014" w:rsidRPr="00943717" w:rsidRDefault="00BB24CC" w:rsidP="00537F2A">
      <w:pPr>
        <w:spacing w:line="360" w:lineRule="auto"/>
        <w:jc w:val="both"/>
        <w:rPr>
          <w:rFonts w:ascii="Calibri" w:hAnsi="Calibri"/>
          <w:b/>
          <w:sz w:val="24"/>
          <w:szCs w:val="24"/>
        </w:rPr>
      </w:pPr>
      <w:r w:rsidRPr="00943717">
        <w:rPr>
          <w:rFonts w:ascii="Calibri" w:hAnsi="Calibri"/>
          <w:b/>
          <w:sz w:val="24"/>
          <w:szCs w:val="24"/>
        </w:rPr>
        <w:t>David Duffy</w:t>
      </w:r>
      <w:r w:rsidR="00E73014" w:rsidRPr="00943717">
        <w:rPr>
          <w:rFonts w:ascii="Calibri" w:hAnsi="Calibri"/>
          <w:b/>
          <w:sz w:val="24"/>
          <w:szCs w:val="24"/>
        </w:rPr>
        <w:t xml:space="preserve"> (Education/Research Officer, TUI)</w:t>
      </w:r>
      <w:r w:rsidR="00087033" w:rsidRPr="00943717">
        <w:rPr>
          <w:rFonts w:ascii="Calibri" w:hAnsi="Calibri"/>
          <w:b/>
          <w:sz w:val="24"/>
          <w:szCs w:val="24"/>
        </w:rPr>
        <w:t xml:space="preserve">, </w:t>
      </w:r>
      <w:hyperlink r:id="rId8" w:history="1">
        <w:r w:rsidR="00383317" w:rsidRPr="00943717">
          <w:rPr>
            <w:rStyle w:val="Hyperlink"/>
            <w:rFonts w:ascii="Calibri" w:hAnsi="Calibri"/>
            <w:color w:val="auto"/>
            <w:sz w:val="24"/>
            <w:szCs w:val="24"/>
          </w:rPr>
          <w:t>dduffy@tui.ie</w:t>
        </w:r>
      </w:hyperlink>
      <w:r w:rsidR="00383317" w:rsidRPr="00943717">
        <w:rPr>
          <w:rFonts w:ascii="Calibri" w:hAnsi="Calibri"/>
          <w:b/>
          <w:sz w:val="24"/>
          <w:szCs w:val="24"/>
        </w:rPr>
        <w:t>, 01 4922588</w:t>
      </w:r>
    </w:p>
    <w:p w14:paraId="7A147E42" w14:textId="77777777" w:rsidR="00A67B64" w:rsidRPr="00537F2A" w:rsidRDefault="00A67B64" w:rsidP="00537F2A">
      <w:pPr>
        <w:spacing w:line="360" w:lineRule="auto"/>
        <w:jc w:val="both"/>
        <w:rPr>
          <w:rFonts w:ascii="Calibri" w:hAnsi="Calibri"/>
          <w:b/>
          <w:sz w:val="24"/>
          <w:szCs w:val="24"/>
        </w:rPr>
      </w:pPr>
    </w:p>
    <w:p w14:paraId="7F3CB172" w14:textId="30BF17D6" w:rsidR="00632D41" w:rsidRPr="007D7C46" w:rsidRDefault="00632D41" w:rsidP="007D7C46">
      <w:pPr>
        <w:spacing w:line="360" w:lineRule="auto"/>
        <w:jc w:val="both"/>
        <w:rPr>
          <w:b/>
          <w:sz w:val="24"/>
          <w:szCs w:val="24"/>
        </w:rPr>
      </w:pPr>
      <w:r w:rsidRPr="007D7C46">
        <w:rPr>
          <w:b/>
          <w:sz w:val="24"/>
          <w:szCs w:val="24"/>
        </w:rPr>
        <w:t>Glossary</w:t>
      </w:r>
    </w:p>
    <w:p w14:paraId="56704BD6" w14:textId="77777777" w:rsidR="001F3BFD" w:rsidRPr="007D7C46" w:rsidRDefault="001F3BFD" w:rsidP="001F3BFD">
      <w:pPr>
        <w:spacing w:line="360" w:lineRule="auto"/>
        <w:jc w:val="both"/>
        <w:rPr>
          <w:sz w:val="24"/>
          <w:szCs w:val="24"/>
        </w:rPr>
      </w:pPr>
      <w:r w:rsidRPr="007D7C46">
        <w:rPr>
          <w:sz w:val="24"/>
          <w:szCs w:val="24"/>
        </w:rPr>
        <w:t>C&amp;C</w:t>
      </w:r>
      <w:r w:rsidRPr="007D7C46">
        <w:rPr>
          <w:sz w:val="24"/>
          <w:szCs w:val="24"/>
        </w:rPr>
        <w:tab/>
      </w:r>
      <w:r w:rsidRPr="007D7C46">
        <w:rPr>
          <w:sz w:val="24"/>
          <w:szCs w:val="24"/>
        </w:rPr>
        <w:tab/>
        <w:t>Community and Comprehensive</w:t>
      </w:r>
    </w:p>
    <w:p w14:paraId="2D1A4076" w14:textId="77777777" w:rsidR="00632D41" w:rsidRPr="007D7C46" w:rsidRDefault="00632D41" w:rsidP="007D7C46">
      <w:pPr>
        <w:spacing w:line="360" w:lineRule="auto"/>
        <w:jc w:val="both"/>
        <w:rPr>
          <w:sz w:val="24"/>
          <w:szCs w:val="24"/>
        </w:rPr>
      </w:pPr>
      <w:r w:rsidRPr="007D7C46">
        <w:rPr>
          <w:sz w:val="24"/>
          <w:szCs w:val="24"/>
        </w:rPr>
        <w:t>DES</w:t>
      </w:r>
      <w:r w:rsidRPr="007D7C46">
        <w:rPr>
          <w:sz w:val="24"/>
          <w:szCs w:val="24"/>
        </w:rPr>
        <w:tab/>
      </w:r>
      <w:r w:rsidRPr="007D7C46">
        <w:rPr>
          <w:sz w:val="24"/>
          <w:szCs w:val="24"/>
        </w:rPr>
        <w:tab/>
        <w:t>Department of Education and Skills</w:t>
      </w:r>
    </w:p>
    <w:p w14:paraId="6327C209" w14:textId="77777777" w:rsidR="001F3BFD" w:rsidRPr="00B85E6A" w:rsidRDefault="001F3BFD" w:rsidP="001F3BFD">
      <w:pPr>
        <w:spacing w:line="360" w:lineRule="auto"/>
        <w:jc w:val="both"/>
        <w:rPr>
          <w:sz w:val="24"/>
          <w:szCs w:val="24"/>
        </w:rPr>
      </w:pPr>
      <w:r w:rsidRPr="00B85E6A">
        <w:rPr>
          <w:sz w:val="24"/>
          <w:szCs w:val="24"/>
        </w:rPr>
        <w:t>ETB</w:t>
      </w:r>
      <w:r w:rsidRPr="00B85E6A">
        <w:rPr>
          <w:sz w:val="24"/>
          <w:szCs w:val="24"/>
        </w:rPr>
        <w:tab/>
      </w:r>
      <w:r w:rsidRPr="00B85E6A">
        <w:rPr>
          <w:sz w:val="24"/>
          <w:szCs w:val="24"/>
        </w:rPr>
        <w:tab/>
        <w:t>Education and Training Board</w:t>
      </w:r>
    </w:p>
    <w:p w14:paraId="30C51DA1" w14:textId="1561A4FD" w:rsidR="005B289F" w:rsidRDefault="005B289F" w:rsidP="007D7C46">
      <w:pPr>
        <w:spacing w:line="360" w:lineRule="auto"/>
        <w:jc w:val="both"/>
        <w:rPr>
          <w:sz w:val="24"/>
          <w:szCs w:val="24"/>
        </w:rPr>
      </w:pPr>
      <w:r w:rsidRPr="00B85E6A">
        <w:rPr>
          <w:sz w:val="24"/>
          <w:szCs w:val="24"/>
        </w:rPr>
        <w:t>TUI</w:t>
      </w:r>
      <w:r w:rsidRPr="00B85E6A">
        <w:rPr>
          <w:sz w:val="24"/>
          <w:szCs w:val="24"/>
        </w:rPr>
        <w:tab/>
      </w:r>
      <w:r w:rsidRPr="00B85E6A">
        <w:rPr>
          <w:sz w:val="24"/>
          <w:szCs w:val="24"/>
        </w:rPr>
        <w:tab/>
        <w:t>Teachers’ Union of Ireland</w:t>
      </w:r>
    </w:p>
    <w:p w14:paraId="5E034517" w14:textId="3F870E9D" w:rsidR="00C82E3C" w:rsidRPr="00B85E6A" w:rsidRDefault="00C82E3C" w:rsidP="007D7C46">
      <w:pPr>
        <w:spacing w:line="360" w:lineRule="auto"/>
        <w:jc w:val="both"/>
        <w:rPr>
          <w:sz w:val="24"/>
          <w:szCs w:val="24"/>
        </w:rPr>
      </w:pPr>
      <w:r>
        <w:rPr>
          <w:sz w:val="24"/>
          <w:szCs w:val="24"/>
        </w:rPr>
        <w:t>UK</w:t>
      </w:r>
      <w:r>
        <w:rPr>
          <w:sz w:val="24"/>
          <w:szCs w:val="24"/>
        </w:rPr>
        <w:tab/>
      </w:r>
      <w:r>
        <w:rPr>
          <w:sz w:val="24"/>
          <w:szCs w:val="24"/>
        </w:rPr>
        <w:tab/>
        <w:t>United Kingdom</w:t>
      </w:r>
    </w:p>
    <w:p w14:paraId="67542052" w14:textId="52DA34CC" w:rsidR="00D317E4" w:rsidRPr="007D7C46" w:rsidRDefault="00D317E4" w:rsidP="007D7C46">
      <w:pPr>
        <w:spacing w:line="360" w:lineRule="auto"/>
        <w:jc w:val="both"/>
        <w:rPr>
          <w:b/>
          <w:sz w:val="24"/>
          <w:szCs w:val="24"/>
        </w:rPr>
      </w:pPr>
      <w:r w:rsidRPr="007D7C46">
        <w:rPr>
          <w:b/>
          <w:sz w:val="24"/>
          <w:szCs w:val="24"/>
        </w:rPr>
        <w:br w:type="page"/>
      </w:r>
    </w:p>
    <w:p w14:paraId="2168DF51" w14:textId="77777777" w:rsidR="00AC49BB" w:rsidRPr="007D7C46" w:rsidRDefault="00AC49BB" w:rsidP="007D7C46">
      <w:pPr>
        <w:spacing w:line="360" w:lineRule="auto"/>
        <w:jc w:val="both"/>
        <w:rPr>
          <w:b/>
          <w:sz w:val="24"/>
          <w:szCs w:val="24"/>
        </w:rPr>
      </w:pPr>
      <w:r w:rsidRPr="007D7C46">
        <w:rPr>
          <w:b/>
          <w:sz w:val="24"/>
          <w:szCs w:val="24"/>
        </w:rPr>
        <w:lastRenderedPageBreak/>
        <w:t>References</w:t>
      </w:r>
    </w:p>
    <w:p w14:paraId="6E115764" w14:textId="77777777" w:rsidR="00C20EF7" w:rsidRPr="00CE5666" w:rsidRDefault="00C20EF7" w:rsidP="00C20EF7">
      <w:pPr>
        <w:spacing w:line="360" w:lineRule="auto"/>
        <w:jc w:val="both"/>
        <w:rPr>
          <w:rFonts w:cs="Arial"/>
          <w:sz w:val="24"/>
          <w:szCs w:val="24"/>
        </w:rPr>
      </w:pPr>
      <w:bookmarkStart w:id="4" w:name="_Hlk531770913"/>
      <w:proofErr w:type="spellStart"/>
      <w:r w:rsidRPr="00CE5666">
        <w:rPr>
          <w:rFonts w:cs="Arial"/>
          <w:sz w:val="24"/>
          <w:szCs w:val="24"/>
        </w:rPr>
        <w:t>Barnardos</w:t>
      </w:r>
      <w:proofErr w:type="spellEnd"/>
      <w:r w:rsidRPr="00CE5666">
        <w:rPr>
          <w:rFonts w:cs="Arial"/>
          <w:sz w:val="24"/>
          <w:szCs w:val="24"/>
        </w:rPr>
        <w:t xml:space="preserve"> (2009), </w:t>
      </w:r>
      <w:r w:rsidRPr="00CE5666">
        <w:rPr>
          <w:rFonts w:cs="Arial"/>
          <w:i/>
          <w:sz w:val="24"/>
          <w:szCs w:val="24"/>
        </w:rPr>
        <w:t>Written Out, Written Off</w:t>
      </w:r>
      <w:r w:rsidRPr="00CE5666">
        <w:rPr>
          <w:rFonts w:cs="Arial"/>
          <w:sz w:val="24"/>
          <w:szCs w:val="24"/>
        </w:rPr>
        <w:t xml:space="preserve">, Dublin: </w:t>
      </w:r>
      <w:proofErr w:type="spellStart"/>
      <w:r w:rsidRPr="00CE5666">
        <w:rPr>
          <w:rFonts w:cs="Arial"/>
          <w:sz w:val="24"/>
          <w:szCs w:val="24"/>
        </w:rPr>
        <w:t>Barnardos</w:t>
      </w:r>
      <w:proofErr w:type="spellEnd"/>
      <w:r w:rsidRPr="00CE5666">
        <w:rPr>
          <w:rFonts w:cs="Arial"/>
          <w:sz w:val="24"/>
          <w:szCs w:val="24"/>
        </w:rPr>
        <w:t xml:space="preserve"> </w:t>
      </w:r>
    </w:p>
    <w:p w14:paraId="2E4649D2" w14:textId="69E1CC05" w:rsidR="005663E7" w:rsidRPr="00476435" w:rsidRDefault="005663E7" w:rsidP="00476435">
      <w:pPr>
        <w:autoSpaceDE w:val="0"/>
        <w:autoSpaceDN w:val="0"/>
        <w:adjustRightInd w:val="0"/>
        <w:spacing w:after="0" w:line="360" w:lineRule="auto"/>
        <w:jc w:val="both"/>
        <w:rPr>
          <w:rFonts w:cs="Arial"/>
          <w:color w:val="000000"/>
          <w:sz w:val="24"/>
          <w:szCs w:val="24"/>
        </w:rPr>
      </w:pPr>
      <w:r w:rsidRPr="00C20EF7">
        <w:rPr>
          <w:rFonts w:cs="Arial"/>
          <w:sz w:val="24"/>
          <w:szCs w:val="24"/>
        </w:rPr>
        <w:t xml:space="preserve">Boyle (2017), </w:t>
      </w:r>
      <w:r w:rsidRPr="00C20EF7">
        <w:rPr>
          <w:rFonts w:cs="Arial"/>
          <w:i/>
          <w:sz w:val="24"/>
          <w:szCs w:val="24"/>
        </w:rPr>
        <w:t>Public Sector Trends 2017</w:t>
      </w:r>
      <w:r w:rsidRPr="00C20EF7">
        <w:rPr>
          <w:rFonts w:cs="Arial"/>
          <w:sz w:val="24"/>
          <w:szCs w:val="24"/>
        </w:rPr>
        <w:t xml:space="preserve">, Dublin: Institute </w:t>
      </w:r>
      <w:r w:rsidRPr="00476435">
        <w:rPr>
          <w:rFonts w:cs="Arial"/>
          <w:color w:val="000000"/>
          <w:sz w:val="24"/>
          <w:szCs w:val="24"/>
        </w:rPr>
        <w:t>of Public Administration</w:t>
      </w:r>
    </w:p>
    <w:p w14:paraId="598ACD9C" w14:textId="77777777" w:rsidR="00B47744" w:rsidRPr="00476435" w:rsidRDefault="00B47744" w:rsidP="00476435">
      <w:pPr>
        <w:autoSpaceDE w:val="0"/>
        <w:autoSpaceDN w:val="0"/>
        <w:adjustRightInd w:val="0"/>
        <w:spacing w:after="0" w:line="360" w:lineRule="auto"/>
        <w:jc w:val="both"/>
        <w:rPr>
          <w:rFonts w:cs="Arial"/>
          <w:color w:val="000000"/>
          <w:sz w:val="24"/>
          <w:szCs w:val="24"/>
        </w:rPr>
      </w:pPr>
      <w:r w:rsidRPr="00476435">
        <w:rPr>
          <w:rFonts w:cs="Arial"/>
          <w:color w:val="000000"/>
          <w:sz w:val="24"/>
          <w:szCs w:val="24"/>
        </w:rPr>
        <w:t xml:space="preserve">Boyle (2018), </w:t>
      </w:r>
      <w:r w:rsidRPr="00476435">
        <w:rPr>
          <w:rFonts w:cs="Arial"/>
          <w:i/>
          <w:color w:val="000000"/>
          <w:sz w:val="24"/>
          <w:szCs w:val="24"/>
        </w:rPr>
        <w:t>Public Sector Trends 2018</w:t>
      </w:r>
      <w:r w:rsidRPr="00476435">
        <w:rPr>
          <w:rFonts w:cs="Arial"/>
          <w:color w:val="000000"/>
          <w:sz w:val="24"/>
          <w:szCs w:val="24"/>
        </w:rPr>
        <w:t>, Dublin: Institute of Public Administration</w:t>
      </w:r>
    </w:p>
    <w:bookmarkEnd w:id="4"/>
    <w:p w14:paraId="2C831EC6" w14:textId="77777777" w:rsidR="00C20EF7" w:rsidRPr="00C20EF7" w:rsidRDefault="00C20EF7" w:rsidP="00C20EF7">
      <w:pPr>
        <w:autoSpaceDE w:val="0"/>
        <w:autoSpaceDN w:val="0"/>
        <w:adjustRightInd w:val="0"/>
        <w:spacing w:after="0" w:line="360" w:lineRule="auto"/>
        <w:jc w:val="both"/>
        <w:rPr>
          <w:rFonts w:cs="Arial"/>
          <w:sz w:val="24"/>
          <w:szCs w:val="24"/>
        </w:rPr>
      </w:pPr>
      <w:r w:rsidRPr="00C20EF7">
        <w:rPr>
          <w:rFonts w:cs="Arial"/>
          <w:sz w:val="24"/>
          <w:szCs w:val="24"/>
        </w:rPr>
        <w:t xml:space="preserve">Bridge Group (2019), </w:t>
      </w:r>
      <w:r w:rsidRPr="00C20EF7">
        <w:rPr>
          <w:rFonts w:cs="Arial"/>
          <w:i/>
          <w:sz w:val="24"/>
          <w:szCs w:val="24"/>
        </w:rPr>
        <w:t>The Influence of Place: Geographical isolation and progression to higher education</w:t>
      </w:r>
      <w:r w:rsidRPr="00C20EF7">
        <w:rPr>
          <w:rFonts w:cs="Arial"/>
          <w:sz w:val="24"/>
          <w:szCs w:val="24"/>
        </w:rPr>
        <w:t xml:space="preserve">, London: The Bridge Group </w:t>
      </w:r>
    </w:p>
    <w:p w14:paraId="474C6D7E" w14:textId="77777777" w:rsidR="005663E7" w:rsidRPr="00476435" w:rsidRDefault="005663E7" w:rsidP="00476435">
      <w:pPr>
        <w:spacing w:after="200" w:line="360" w:lineRule="auto"/>
        <w:jc w:val="both"/>
        <w:rPr>
          <w:rFonts w:cs="Arial"/>
          <w:sz w:val="24"/>
          <w:szCs w:val="24"/>
        </w:rPr>
      </w:pPr>
      <w:proofErr w:type="spellStart"/>
      <w:r w:rsidRPr="00476435">
        <w:rPr>
          <w:rFonts w:cs="Arial"/>
          <w:sz w:val="24"/>
          <w:szCs w:val="24"/>
        </w:rPr>
        <w:t>Comhairle</w:t>
      </w:r>
      <w:proofErr w:type="spellEnd"/>
      <w:r w:rsidRPr="00476435">
        <w:rPr>
          <w:rFonts w:cs="Arial"/>
          <w:sz w:val="24"/>
          <w:szCs w:val="24"/>
        </w:rPr>
        <w:t xml:space="preserve"> </w:t>
      </w:r>
      <w:proofErr w:type="spellStart"/>
      <w:r w:rsidRPr="00476435">
        <w:rPr>
          <w:rFonts w:cs="Arial"/>
          <w:sz w:val="24"/>
          <w:szCs w:val="24"/>
        </w:rPr>
        <w:t>na</w:t>
      </w:r>
      <w:proofErr w:type="spellEnd"/>
      <w:r w:rsidRPr="00476435">
        <w:rPr>
          <w:rFonts w:cs="Arial"/>
          <w:sz w:val="24"/>
          <w:szCs w:val="24"/>
        </w:rPr>
        <w:t xml:space="preserve"> </w:t>
      </w:r>
      <w:proofErr w:type="spellStart"/>
      <w:r w:rsidRPr="00476435">
        <w:rPr>
          <w:rFonts w:cs="Arial"/>
          <w:sz w:val="24"/>
          <w:szCs w:val="24"/>
        </w:rPr>
        <w:t>nOg</w:t>
      </w:r>
      <w:proofErr w:type="spellEnd"/>
      <w:r w:rsidRPr="00476435">
        <w:rPr>
          <w:rFonts w:cs="Arial"/>
          <w:sz w:val="24"/>
          <w:szCs w:val="24"/>
        </w:rPr>
        <w:t xml:space="preserve"> (2017), </w:t>
      </w:r>
      <w:r w:rsidRPr="00476435">
        <w:rPr>
          <w:rFonts w:cs="Arial"/>
          <w:i/>
          <w:sz w:val="24"/>
          <w:szCs w:val="24"/>
        </w:rPr>
        <w:t>So, How Was School Today?</w:t>
      </w:r>
      <w:r w:rsidRPr="00476435">
        <w:rPr>
          <w:rFonts w:cs="Arial"/>
          <w:sz w:val="24"/>
          <w:szCs w:val="24"/>
        </w:rPr>
        <w:t xml:space="preserve"> Dublin: Department of Children and Youth Affairs </w:t>
      </w:r>
    </w:p>
    <w:p w14:paraId="7A545472" w14:textId="7532E015" w:rsidR="003630F0" w:rsidRDefault="003630F0" w:rsidP="00476435">
      <w:pPr>
        <w:spacing w:line="360" w:lineRule="auto"/>
        <w:jc w:val="both"/>
        <w:rPr>
          <w:sz w:val="24"/>
          <w:szCs w:val="24"/>
        </w:rPr>
      </w:pPr>
      <w:bookmarkStart w:id="5" w:name="_Hlk532475617"/>
      <w:r>
        <w:rPr>
          <w:sz w:val="24"/>
          <w:szCs w:val="24"/>
        </w:rPr>
        <w:t xml:space="preserve">DES (2016), </w:t>
      </w:r>
      <w:r w:rsidRPr="003630F0">
        <w:rPr>
          <w:i/>
          <w:sz w:val="24"/>
          <w:szCs w:val="24"/>
        </w:rPr>
        <w:t>Policy on Gaeltacht Education 2017-202</w:t>
      </w:r>
      <w:r>
        <w:rPr>
          <w:sz w:val="24"/>
          <w:szCs w:val="24"/>
        </w:rPr>
        <w:t>2, Dublin: Department of Education and Skills</w:t>
      </w:r>
    </w:p>
    <w:p w14:paraId="40E8B298" w14:textId="24DAD619" w:rsidR="00BE44E7" w:rsidRPr="00476435" w:rsidRDefault="00BE44E7" w:rsidP="00476435">
      <w:pPr>
        <w:spacing w:line="360" w:lineRule="auto"/>
        <w:jc w:val="both"/>
        <w:rPr>
          <w:rFonts w:cs="Arial"/>
          <w:sz w:val="24"/>
          <w:szCs w:val="24"/>
        </w:rPr>
      </w:pPr>
      <w:r w:rsidRPr="00476435">
        <w:rPr>
          <w:sz w:val="24"/>
          <w:szCs w:val="24"/>
        </w:rPr>
        <w:t>DES (2018</w:t>
      </w:r>
      <w:r w:rsidR="00383C04" w:rsidRPr="00476435">
        <w:rPr>
          <w:sz w:val="24"/>
          <w:szCs w:val="24"/>
        </w:rPr>
        <w:t>a</w:t>
      </w:r>
      <w:r w:rsidRPr="00476435">
        <w:rPr>
          <w:sz w:val="24"/>
          <w:szCs w:val="24"/>
        </w:rPr>
        <w:t xml:space="preserve">), </w:t>
      </w:r>
      <w:r w:rsidRPr="00476435">
        <w:rPr>
          <w:i/>
          <w:sz w:val="24"/>
          <w:szCs w:val="24"/>
        </w:rPr>
        <w:t>Chief Inspector’s Report 2013-2016</w:t>
      </w:r>
      <w:r w:rsidRPr="00476435">
        <w:rPr>
          <w:sz w:val="24"/>
          <w:szCs w:val="24"/>
        </w:rPr>
        <w:t>, Dublin: Department of Education and Skills Inspectorate</w:t>
      </w:r>
      <w:r w:rsidRPr="00476435">
        <w:rPr>
          <w:rFonts w:cs="Arial"/>
          <w:sz w:val="24"/>
          <w:szCs w:val="24"/>
        </w:rPr>
        <w:t xml:space="preserve"> </w:t>
      </w:r>
    </w:p>
    <w:p w14:paraId="3A1836FA" w14:textId="77777777" w:rsidR="00383C04" w:rsidRPr="00476435" w:rsidRDefault="00383C04" w:rsidP="00476435">
      <w:pPr>
        <w:spacing w:line="360" w:lineRule="auto"/>
        <w:jc w:val="both"/>
        <w:rPr>
          <w:rFonts w:cs="Arial"/>
          <w:sz w:val="24"/>
          <w:szCs w:val="24"/>
        </w:rPr>
      </w:pPr>
      <w:bookmarkStart w:id="6" w:name="_Hlk531771345"/>
      <w:bookmarkEnd w:id="5"/>
      <w:r w:rsidRPr="00476435">
        <w:rPr>
          <w:sz w:val="24"/>
          <w:szCs w:val="24"/>
        </w:rPr>
        <w:t xml:space="preserve">DES (2018b), </w:t>
      </w:r>
      <w:r w:rsidRPr="00476435">
        <w:rPr>
          <w:i/>
          <w:sz w:val="24"/>
          <w:szCs w:val="24"/>
        </w:rPr>
        <w:t xml:space="preserve">Opening Statement to the Joint Oireachtas Committee on Education and Skills, </w:t>
      </w:r>
      <w:r w:rsidRPr="00476435">
        <w:rPr>
          <w:sz w:val="24"/>
          <w:szCs w:val="24"/>
        </w:rPr>
        <w:t>August 29</w:t>
      </w:r>
      <w:r w:rsidRPr="00476435">
        <w:rPr>
          <w:sz w:val="24"/>
          <w:szCs w:val="24"/>
          <w:vertAlign w:val="superscript"/>
        </w:rPr>
        <w:t>th</w:t>
      </w:r>
      <w:proofErr w:type="gramStart"/>
      <w:r w:rsidRPr="00476435">
        <w:rPr>
          <w:sz w:val="24"/>
          <w:szCs w:val="24"/>
        </w:rPr>
        <w:t xml:space="preserve"> 2018</w:t>
      </w:r>
      <w:proofErr w:type="gramEnd"/>
      <w:r w:rsidRPr="00476435">
        <w:rPr>
          <w:rFonts w:cs="Arial"/>
          <w:sz w:val="24"/>
          <w:szCs w:val="24"/>
        </w:rPr>
        <w:t xml:space="preserve"> </w:t>
      </w:r>
    </w:p>
    <w:p w14:paraId="3BCBB3F4" w14:textId="77777777" w:rsidR="0089023E" w:rsidRPr="00476435" w:rsidRDefault="0089023E" w:rsidP="00476435">
      <w:pPr>
        <w:autoSpaceDE w:val="0"/>
        <w:autoSpaceDN w:val="0"/>
        <w:adjustRightInd w:val="0"/>
        <w:spacing w:after="0" w:line="360" w:lineRule="auto"/>
        <w:rPr>
          <w:rFonts w:eastAsia="BrandonGrotesque-Regular" w:cs="Arial"/>
          <w:sz w:val="24"/>
          <w:szCs w:val="24"/>
        </w:rPr>
      </w:pPr>
      <w:bookmarkStart w:id="7" w:name="_Hlk531771171"/>
      <w:bookmarkEnd w:id="6"/>
      <w:r w:rsidRPr="00476435">
        <w:rPr>
          <w:rFonts w:eastAsia="BrandonGrotesque-Regular" w:cs="Arial"/>
          <w:sz w:val="24"/>
          <w:szCs w:val="24"/>
        </w:rPr>
        <w:t xml:space="preserve">EU Commission (2018), </w:t>
      </w:r>
      <w:r w:rsidRPr="00476435">
        <w:rPr>
          <w:rFonts w:eastAsia="BrandonGrotesque-Regular" w:cs="Arial"/>
          <w:i/>
          <w:sz w:val="24"/>
          <w:szCs w:val="24"/>
        </w:rPr>
        <w:t>Labour Market Policy Thematic Review 2018</w:t>
      </w:r>
      <w:r w:rsidRPr="00476435">
        <w:rPr>
          <w:rFonts w:eastAsia="BrandonGrotesque-Regular" w:cs="Arial"/>
          <w:sz w:val="24"/>
          <w:szCs w:val="24"/>
        </w:rPr>
        <w:t>, Luxembourg: Publications Office of the European Union</w:t>
      </w:r>
    </w:p>
    <w:p w14:paraId="1E6D4455" w14:textId="77777777" w:rsidR="00D05374" w:rsidRDefault="00D05374" w:rsidP="00476435">
      <w:pPr>
        <w:spacing w:line="360" w:lineRule="auto"/>
        <w:jc w:val="both"/>
        <w:rPr>
          <w:rFonts w:ascii="Calibri" w:hAnsi="Calibri" w:cs="Arial"/>
          <w:sz w:val="24"/>
          <w:szCs w:val="24"/>
        </w:rPr>
      </w:pPr>
      <w:bookmarkStart w:id="8" w:name="_Hlk531771056"/>
      <w:bookmarkEnd w:id="7"/>
      <w:r>
        <w:rPr>
          <w:rFonts w:ascii="Calibri" w:eastAsia="BrandonGrotesque-Regular" w:hAnsi="Calibri" w:cs="Arial"/>
          <w:sz w:val="24"/>
          <w:szCs w:val="24"/>
        </w:rPr>
        <w:t xml:space="preserve">EU Commission (2019), </w:t>
      </w:r>
      <w:r>
        <w:rPr>
          <w:rFonts w:ascii="Calibri" w:eastAsia="BrandonGrotesque-Regular" w:hAnsi="Calibri" w:cs="Arial"/>
          <w:i/>
          <w:sz w:val="24"/>
          <w:szCs w:val="24"/>
        </w:rPr>
        <w:t>Country Report Ireland 2019</w:t>
      </w:r>
      <w:r>
        <w:rPr>
          <w:rFonts w:ascii="Calibri" w:eastAsia="BrandonGrotesque-Regular" w:hAnsi="Calibri" w:cs="Arial"/>
          <w:sz w:val="24"/>
          <w:szCs w:val="24"/>
        </w:rPr>
        <w:t>, Brussels: European Commission</w:t>
      </w:r>
      <w:r>
        <w:rPr>
          <w:rFonts w:ascii="Calibri" w:hAnsi="Calibri" w:cs="Arial"/>
          <w:sz w:val="24"/>
          <w:szCs w:val="24"/>
        </w:rPr>
        <w:t xml:space="preserve"> </w:t>
      </w:r>
    </w:p>
    <w:p w14:paraId="10C3748E" w14:textId="20D17474" w:rsidR="00E45461" w:rsidRPr="00476435" w:rsidRDefault="00E45461" w:rsidP="00476435">
      <w:pPr>
        <w:spacing w:line="360" w:lineRule="auto"/>
        <w:jc w:val="both"/>
        <w:rPr>
          <w:sz w:val="24"/>
          <w:szCs w:val="24"/>
        </w:rPr>
      </w:pPr>
      <w:r w:rsidRPr="00476435">
        <w:rPr>
          <w:rFonts w:cs="Arial"/>
          <w:sz w:val="24"/>
          <w:szCs w:val="24"/>
        </w:rPr>
        <w:t xml:space="preserve">EU Commission / EACEA / Eurydice (2018), </w:t>
      </w:r>
      <w:r w:rsidRPr="00476435">
        <w:rPr>
          <w:rFonts w:cs="Arial"/>
          <w:i/>
          <w:sz w:val="24"/>
          <w:szCs w:val="24"/>
        </w:rPr>
        <w:t>The European Higher Education Area in 2018: Bologna process implementation report</w:t>
      </w:r>
      <w:r w:rsidRPr="00476435">
        <w:rPr>
          <w:rFonts w:cs="Arial"/>
          <w:sz w:val="24"/>
          <w:szCs w:val="24"/>
        </w:rPr>
        <w:t>, Luxembourg: Publications Office of the European Union</w:t>
      </w:r>
      <w:bookmarkEnd w:id="8"/>
      <w:r w:rsidRPr="00476435">
        <w:rPr>
          <w:sz w:val="24"/>
          <w:szCs w:val="24"/>
        </w:rPr>
        <w:t xml:space="preserve"> </w:t>
      </w:r>
    </w:p>
    <w:p w14:paraId="5E9D0F0A" w14:textId="77777777" w:rsidR="005663E7" w:rsidRPr="00476435" w:rsidRDefault="005663E7" w:rsidP="00476435">
      <w:pPr>
        <w:spacing w:line="360" w:lineRule="auto"/>
        <w:jc w:val="both"/>
        <w:rPr>
          <w:rFonts w:cs="Arial"/>
          <w:sz w:val="24"/>
          <w:szCs w:val="24"/>
        </w:rPr>
      </w:pPr>
      <w:bookmarkStart w:id="9" w:name="_Hlk531770941"/>
      <w:r w:rsidRPr="00476435">
        <w:rPr>
          <w:rFonts w:cs="Arial"/>
          <w:sz w:val="24"/>
          <w:szCs w:val="24"/>
        </w:rPr>
        <w:t xml:space="preserve">Growing Up in Ireland (2017), </w:t>
      </w:r>
      <w:r w:rsidRPr="00476435">
        <w:rPr>
          <w:rFonts w:cs="Arial"/>
          <w:i/>
          <w:sz w:val="24"/>
          <w:szCs w:val="24"/>
        </w:rPr>
        <w:t>Key Findings: Infant cohort at 7/8 years, School and learning</w:t>
      </w:r>
      <w:r w:rsidRPr="00476435">
        <w:rPr>
          <w:rFonts w:cs="Arial"/>
          <w:sz w:val="24"/>
          <w:szCs w:val="24"/>
        </w:rPr>
        <w:t xml:space="preserve">, Dublin: ESRI </w:t>
      </w:r>
    </w:p>
    <w:bookmarkEnd w:id="9"/>
    <w:p w14:paraId="51B31A9A" w14:textId="0FC0EB6C" w:rsidR="00D077AC" w:rsidRPr="00476435" w:rsidRDefault="00D077AC" w:rsidP="00D077AC">
      <w:pPr>
        <w:spacing w:line="360" w:lineRule="auto"/>
        <w:jc w:val="both"/>
        <w:rPr>
          <w:rFonts w:cs="Arial"/>
          <w:sz w:val="24"/>
          <w:szCs w:val="24"/>
        </w:rPr>
      </w:pPr>
      <w:r>
        <w:rPr>
          <w:rFonts w:cs="Arial"/>
          <w:sz w:val="24"/>
          <w:szCs w:val="24"/>
        </w:rPr>
        <w:t>Growing Up in Ireland (2018</w:t>
      </w:r>
      <w:r w:rsidRPr="00476435">
        <w:rPr>
          <w:rFonts w:cs="Arial"/>
          <w:sz w:val="24"/>
          <w:szCs w:val="24"/>
        </w:rPr>
        <w:t xml:space="preserve">), </w:t>
      </w:r>
      <w:r>
        <w:rPr>
          <w:rFonts w:cs="Arial"/>
          <w:i/>
          <w:sz w:val="24"/>
          <w:szCs w:val="24"/>
        </w:rPr>
        <w:t>The Lives of 13-year-olds</w:t>
      </w:r>
      <w:r w:rsidRPr="00476435">
        <w:rPr>
          <w:rFonts w:cs="Arial"/>
          <w:sz w:val="24"/>
          <w:szCs w:val="24"/>
        </w:rPr>
        <w:t xml:space="preserve">, Dublin: ESRI </w:t>
      </w:r>
    </w:p>
    <w:p w14:paraId="68BB9588" w14:textId="77777777" w:rsidR="00C20EF7" w:rsidRPr="00C20EF7" w:rsidRDefault="00C20EF7" w:rsidP="00C20EF7">
      <w:pPr>
        <w:autoSpaceDE w:val="0"/>
        <w:autoSpaceDN w:val="0"/>
        <w:adjustRightInd w:val="0"/>
        <w:spacing w:after="0" w:line="360" w:lineRule="auto"/>
        <w:jc w:val="both"/>
        <w:rPr>
          <w:rFonts w:cs="Arial"/>
          <w:sz w:val="24"/>
          <w:szCs w:val="24"/>
        </w:rPr>
      </w:pPr>
      <w:r w:rsidRPr="00C20EF7">
        <w:rPr>
          <w:rFonts w:cs="Arial"/>
          <w:sz w:val="24"/>
          <w:szCs w:val="24"/>
        </w:rPr>
        <w:t xml:space="preserve">Joint Oireachtas Committee on Education and Skills (2018), </w:t>
      </w:r>
      <w:r w:rsidRPr="00C20EF7">
        <w:rPr>
          <w:rFonts w:cs="Calibri,Bold"/>
          <w:bCs/>
          <w:i/>
          <w:sz w:val="24"/>
          <w:szCs w:val="24"/>
        </w:rPr>
        <w:t>Report on Challenges Facing Island School</w:t>
      </w:r>
      <w:r w:rsidRPr="00C20EF7">
        <w:rPr>
          <w:rFonts w:cs="Calibri,Bold"/>
          <w:bCs/>
          <w:sz w:val="24"/>
          <w:szCs w:val="24"/>
        </w:rPr>
        <w:t>s</w:t>
      </w:r>
      <w:r w:rsidRPr="00C20EF7">
        <w:rPr>
          <w:rFonts w:cs="Arial"/>
          <w:sz w:val="24"/>
          <w:szCs w:val="24"/>
        </w:rPr>
        <w:t xml:space="preserve">, </w:t>
      </w:r>
      <w:bookmarkStart w:id="10" w:name="_Hlk16255843"/>
      <w:r w:rsidRPr="00C20EF7">
        <w:rPr>
          <w:rFonts w:cs="Arial"/>
          <w:sz w:val="24"/>
          <w:szCs w:val="24"/>
        </w:rPr>
        <w:t>Dublin: Houses of the Oireachtas</w:t>
      </w:r>
      <w:bookmarkEnd w:id="10"/>
    </w:p>
    <w:p w14:paraId="09F6D56F" w14:textId="77777777" w:rsidR="00383C04" w:rsidRPr="00476435" w:rsidRDefault="00383C04" w:rsidP="00476435">
      <w:pPr>
        <w:autoSpaceDE w:val="0"/>
        <w:autoSpaceDN w:val="0"/>
        <w:adjustRightInd w:val="0"/>
        <w:spacing w:after="0" w:line="360" w:lineRule="auto"/>
        <w:jc w:val="both"/>
        <w:rPr>
          <w:rFonts w:cs="Arial"/>
          <w:sz w:val="24"/>
          <w:szCs w:val="24"/>
        </w:rPr>
      </w:pPr>
      <w:r w:rsidRPr="00476435">
        <w:rPr>
          <w:rFonts w:cs="Arial"/>
          <w:sz w:val="24"/>
          <w:szCs w:val="24"/>
        </w:rPr>
        <w:t xml:space="preserve">Kantar Millward Brown (2018), </w:t>
      </w:r>
      <w:r w:rsidRPr="00476435">
        <w:rPr>
          <w:rFonts w:cs="Arial"/>
          <w:i/>
          <w:sz w:val="24"/>
          <w:szCs w:val="24"/>
        </w:rPr>
        <w:t>Our Faith in Institutions</w:t>
      </w:r>
      <w:r w:rsidRPr="00476435">
        <w:rPr>
          <w:rFonts w:cs="Arial"/>
          <w:sz w:val="24"/>
          <w:szCs w:val="24"/>
        </w:rPr>
        <w:t>, Dublin: Kantar Millward Brown</w:t>
      </w:r>
    </w:p>
    <w:p w14:paraId="49898C2E" w14:textId="77777777" w:rsidR="00B31A73" w:rsidRPr="00476435" w:rsidRDefault="00B31A73" w:rsidP="00476435">
      <w:pPr>
        <w:spacing w:line="360" w:lineRule="auto"/>
        <w:rPr>
          <w:rFonts w:cs="Arial"/>
          <w:sz w:val="24"/>
          <w:szCs w:val="24"/>
          <w:lang w:val="en-US"/>
        </w:rPr>
      </w:pPr>
      <w:r w:rsidRPr="00476435">
        <w:rPr>
          <w:rFonts w:cs="Arial"/>
          <w:sz w:val="24"/>
          <w:szCs w:val="24"/>
        </w:rPr>
        <w:t xml:space="preserve">NERI (2018), </w:t>
      </w:r>
      <w:r w:rsidRPr="00476435">
        <w:rPr>
          <w:rFonts w:cs="Arial"/>
          <w:i/>
          <w:sz w:val="24"/>
          <w:szCs w:val="24"/>
        </w:rPr>
        <w:t>Quarterly Economic Observer, Summer 2018</w:t>
      </w:r>
      <w:r w:rsidRPr="00476435">
        <w:rPr>
          <w:rFonts w:cs="Arial"/>
          <w:sz w:val="24"/>
          <w:szCs w:val="24"/>
        </w:rPr>
        <w:t>, Dublin: Nevin Economic Research Institute</w:t>
      </w:r>
      <w:r w:rsidRPr="00476435">
        <w:rPr>
          <w:rFonts w:cs="Arial"/>
          <w:sz w:val="24"/>
          <w:szCs w:val="24"/>
          <w:lang w:val="en-US"/>
        </w:rPr>
        <w:t xml:space="preserve"> </w:t>
      </w:r>
    </w:p>
    <w:p w14:paraId="200A604C" w14:textId="77777777" w:rsidR="005663E7" w:rsidRPr="00476435" w:rsidRDefault="005663E7" w:rsidP="00476435">
      <w:pPr>
        <w:spacing w:after="200" w:line="360" w:lineRule="auto"/>
        <w:jc w:val="both"/>
        <w:rPr>
          <w:sz w:val="24"/>
          <w:szCs w:val="24"/>
        </w:rPr>
      </w:pPr>
      <w:r w:rsidRPr="00476435">
        <w:rPr>
          <w:sz w:val="24"/>
          <w:szCs w:val="24"/>
        </w:rPr>
        <w:lastRenderedPageBreak/>
        <w:t xml:space="preserve">OECD (2009), </w:t>
      </w:r>
      <w:r w:rsidRPr="00476435">
        <w:rPr>
          <w:i/>
          <w:sz w:val="24"/>
          <w:szCs w:val="24"/>
        </w:rPr>
        <w:t>Education at a Glance</w:t>
      </w:r>
      <w:r w:rsidRPr="00476435">
        <w:rPr>
          <w:sz w:val="24"/>
          <w:szCs w:val="24"/>
        </w:rPr>
        <w:t xml:space="preserve">, Paris: Organisation for Economic Co-operation and Development </w:t>
      </w:r>
    </w:p>
    <w:p w14:paraId="491D0DA3" w14:textId="77777777" w:rsidR="005663E7" w:rsidRPr="00476435" w:rsidRDefault="005663E7" w:rsidP="00476435">
      <w:pPr>
        <w:spacing w:after="200" w:line="360" w:lineRule="auto"/>
        <w:jc w:val="both"/>
        <w:rPr>
          <w:sz w:val="24"/>
          <w:szCs w:val="24"/>
        </w:rPr>
      </w:pPr>
      <w:r w:rsidRPr="00476435">
        <w:rPr>
          <w:sz w:val="24"/>
          <w:szCs w:val="24"/>
        </w:rPr>
        <w:t xml:space="preserve">OECD (2013), </w:t>
      </w:r>
      <w:r w:rsidRPr="00476435">
        <w:rPr>
          <w:i/>
          <w:sz w:val="24"/>
          <w:szCs w:val="24"/>
        </w:rPr>
        <w:t>Education at a Glance</w:t>
      </w:r>
      <w:r w:rsidRPr="00476435">
        <w:rPr>
          <w:sz w:val="24"/>
          <w:szCs w:val="24"/>
        </w:rPr>
        <w:t xml:space="preserve">, Paris: Organisation for Economic Co-operation and Development </w:t>
      </w:r>
    </w:p>
    <w:p w14:paraId="7AA111BC" w14:textId="77777777" w:rsidR="00507252" w:rsidRPr="00476435" w:rsidRDefault="00507252" w:rsidP="00476435">
      <w:pPr>
        <w:spacing w:line="360" w:lineRule="auto"/>
        <w:jc w:val="both"/>
        <w:rPr>
          <w:rFonts w:cs="Arial"/>
          <w:sz w:val="24"/>
          <w:szCs w:val="24"/>
        </w:rPr>
      </w:pPr>
      <w:bookmarkStart w:id="11" w:name="_Hlk517856986"/>
      <w:r w:rsidRPr="00476435">
        <w:rPr>
          <w:rFonts w:cs="Arial"/>
          <w:sz w:val="24"/>
          <w:szCs w:val="24"/>
        </w:rPr>
        <w:t xml:space="preserve">OECD (2015a), </w:t>
      </w:r>
      <w:r w:rsidRPr="00476435">
        <w:rPr>
          <w:rFonts w:cs="Arial"/>
          <w:i/>
          <w:sz w:val="24"/>
          <w:szCs w:val="24"/>
        </w:rPr>
        <w:t>Government at a Glance 2015</w:t>
      </w:r>
      <w:r w:rsidRPr="00476435">
        <w:rPr>
          <w:rFonts w:cs="Arial"/>
          <w:sz w:val="24"/>
          <w:szCs w:val="24"/>
        </w:rPr>
        <w:t xml:space="preserve">, Paris: OECD Publishing </w:t>
      </w:r>
    </w:p>
    <w:p w14:paraId="10324C3D" w14:textId="77777777" w:rsidR="005663E7" w:rsidRPr="00476435" w:rsidRDefault="005663E7" w:rsidP="00476435">
      <w:pPr>
        <w:spacing w:line="360" w:lineRule="auto"/>
        <w:jc w:val="both"/>
        <w:rPr>
          <w:rFonts w:cs="Arial"/>
          <w:sz w:val="24"/>
          <w:szCs w:val="24"/>
        </w:rPr>
      </w:pPr>
      <w:bookmarkStart w:id="12" w:name="_Hlk531771263"/>
      <w:r w:rsidRPr="00476435">
        <w:rPr>
          <w:rFonts w:cs="Arial"/>
          <w:sz w:val="24"/>
          <w:szCs w:val="24"/>
        </w:rPr>
        <w:t>OECD (2015</w:t>
      </w:r>
      <w:r w:rsidR="00507252" w:rsidRPr="00476435">
        <w:rPr>
          <w:rFonts w:cs="Arial"/>
          <w:sz w:val="24"/>
          <w:szCs w:val="24"/>
        </w:rPr>
        <w:t>b</w:t>
      </w:r>
      <w:r w:rsidRPr="00476435">
        <w:rPr>
          <w:rFonts w:cs="Arial"/>
          <w:sz w:val="24"/>
          <w:szCs w:val="24"/>
        </w:rPr>
        <w:t xml:space="preserve">), </w:t>
      </w:r>
      <w:r w:rsidRPr="00476435">
        <w:rPr>
          <w:rFonts w:cs="Arial"/>
          <w:i/>
          <w:sz w:val="24"/>
          <w:szCs w:val="24"/>
        </w:rPr>
        <w:t>Education at a Glance 2015</w:t>
      </w:r>
      <w:r w:rsidRPr="00476435">
        <w:rPr>
          <w:rFonts w:cs="Arial"/>
          <w:sz w:val="24"/>
          <w:szCs w:val="24"/>
        </w:rPr>
        <w:t>, Paris: OECD Publishing</w:t>
      </w:r>
      <w:bookmarkEnd w:id="11"/>
    </w:p>
    <w:p w14:paraId="565E5B24" w14:textId="77777777" w:rsidR="00FC73A7" w:rsidRPr="00476435" w:rsidRDefault="00FC73A7" w:rsidP="00476435">
      <w:pPr>
        <w:autoSpaceDE w:val="0"/>
        <w:autoSpaceDN w:val="0"/>
        <w:adjustRightInd w:val="0"/>
        <w:spacing w:after="0" w:line="360" w:lineRule="auto"/>
        <w:rPr>
          <w:rFonts w:cs="Arial"/>
          <w:color w:val="000000"/>
          <w:sz w:val="24"/>
          <w:szCs w:val="24"/>
        </w:rPr>
      </w:pPr>
      <w:bookmarkStart w:id="13" w:name="_Hlk531771019"/>
      <w:bookmarkEnd w:id="12"/>
      <w:r w:rsidRPr="00476435">
        <w:rPr>
          <w:rFonts w:cs="Arial"/>
          <w:sz w:val="24"/>
          <w:szCs w:val="24"/>
        </w:rPr>
        <w:t xml:space="preserve">Scanlon, G. &amp; McKenna, G. (2018), </w:t>
      </w:r>
      <w:r w:rsidRPr="00476435">
        <w:rPr>
          <w:rFonts w:cs="Arial"/>
          <w:i/>
          <w:sz w:val="24"/>
          <w:szCs w:val="24"/>
        </w:rPr>
        <w:t>Home Works: A study on the educational needs of children experiencing homelessness and living in emergency accommodation</w:t>
      </w:r>
      <w:r w:rsidRPr="00476435">
        <w:rPr>
          <w:rFonts w:cs="Arial"/>
          <w:sz w:val="24"/>
          <w:szCs w:val="24"/>
        </w:rPr>
        <w:t>, Dublin: Children’s Rights Alliance</w:t>
      </w:r>
      <w:r w:rsidRPr="00476435">
        <w:rPr>
          <w:rFonts w:cs="Arial"/>
          <w:color w:val="000000"/>
          <w:sz w:val="24"/>
          <w:szCs w:val="24"/>
        </w:rPr>
        <w:t xml:space="preserve"> </w:t>
      </w:r>
    </w:p>
    <w:p w14:paraId="7CDB5807" w14:textId="77777777" w:rsidR="005E23A3" w:rsidRPr="00476435" w:rsidRDefault="005E23A3" w:rsidP="00476435">
      <w:pPr>
        <w:autoSpaceDE w:val="0"/>
        <w:autoSpaceDN w:val="0"/>
        <w:adjustRightInd w:val="0"/>
        <w:spacing w:after="0" w:line="360" w:lineRule="auto"/>
        <w:rPr>
          <w:rFonts w:cs="Arial"/>
          <w:color w:val="000000"/>
          <w:sz w:val="24"/>
          <w:szCs w:val="24"/>
        </w:rPr>
      </w:pPr>
      <w:bookmarkStart w:id="14" w:name="_Hlk531771307"/>
      <w:bookmarkEnd w:id="13"/>
      <w:r w:rsidRPr="00476435">
        <w:rPr>
          <w:rFonts w:cs="Arial"/>
          <w:color w:val="000000"/>
          <w:sz w:val="24"/>
          <w:szCs w:val="24"/>
        </w:rPr>
        <w:t xml:space="preserve">SJI (2018), </w:t>
      </w:r>
      <w:r w:rsidRPr="00476435">
        <w:rPr>
          <w:rFonts w:cs="Arial"/>
          <w:i/>
          <w:color w:val="000000"/>
          <w:sz w:val="24"/>
          <w:szCs w:val="24"/>
        </w:rPr>
        <w:t>Poverty Focus 2018</w:t>
      </w:r>
      <w:r w:rsidRPr="00476435">
        <w:rPr>
          <w:rFonts w:cs="Arial"/>
          <w:color w:val="000000"/>
          <w:sz w:val="24"/>
          <w:szCs w:val="24"/>
        </w:rPr>
        <w:t>, Dublin: Social Justice Ireland</w:t>
      </w:r>
    </w:p>
    <w:p w14:paraId="05CD1096" w14:textId="77777777" w:rsidR="00C570F1" w:rsidRPr="00476435" w:rsidRDefault="00C570F1" w:rsidP="00476435">
      <w:pPr>
        <w:spacing w:line="360" w:lineRule="auto"/>
        <w:rPr>
          <w:rFonts w:cs="Arial"/>
          <w:sz w:val="24"/>
          <w:szCs w:val="24"/>
        </w:rPr>
      </w:pPr>
      <w:bookmarkStart w:id="15" w:name="_Hlk531771085"/>
      <w:bookmarkEnd w:id="14"/>
      <w:r w:rsidRPr="00476435">
        <w:rPr>
          <w:rFonts w:cs="Arial"/>
          <w:sz w:val="24"/>
          <w:szCs w:val="24"/>
        </w:rPr>
        <w:t xml:space="preserve">Social Progress Initiative (2018), </w:t>
      </w:r>
      <w:r w:rsidRPr="00476435">
        <w:rPr>
          <w:rFonts w:cs="Arial"/>
          <w:i/>
          <w:sz w:val="24"/>
          <w:szCs w:val="24"/>
        </w:rPr>
        <w:t>Social Progress Index 2018</w:t>
      </w:r>
      <w:r w:rsidRPr="00476435">
        <w:rPr>
          <w:rFonts w:cs="Arial"/>
          <w:sz w:val="24"/>
          <w:szCs w:val="24"/>
        </w:rPr>
        <w:t>, Washington DC, USA: Social Progress Imperative</w:t>
      </w:r>
    </w:p>
    <w:bookmarkEnd w:id="15"/>
    <w:p w14:paraId="270210B4" w14:textId="635CD88D" w:rsidR="005663E7" w:rsidRPr="00476435" w:rsidRDefault="005663E7" w:rsidP="00476435">
      <w:pPr>
        <w:spacing w:line="360" w:lineRule="auto"/>
        <w:jc w:val="both"/>
        <w:rPr>
          <w:sz w:val="24"/>
          <w:szCs w:val="24"/>
        </w:rPr>
      </w:pPr>
      <w:r w:rsidRPr="00476435">
        <w:rPr>
          <w:rFonts w:cs="Arial"/>
          <w:sz w:val="24"/>
          <w:szCs w:val="24"/>
        </w:rPr>
        <w:t xml:space="preserve">Teaching Council (2010), </w:t>
      </w:r>
      <w:r w:rsidRPr="00476435">
        <w:rPr>
          <w:rFonts w:cs="Arial"/>
          <w:i/>
          <w:sz w:val="24"/>
          <w:szCs w:val="24"/>
        </w:rPr>
        <w:t>Evaluation of Public Attitudes to the Teaching Profession</w:t>
      </w:r>
      <w:r w:rsidRPr="00476435">
        <w:rPr>
          <w:rFonts w:cs="Arial"/>
          <w:sz w:val="24"/>
          <w:szCs w:val="24"/>
        </w:rPr>
        <w:t>, Maynooth: Teaching Council</w:t>
      </w:r>
    </w:p>
    <w:p w14:paraId="76DA9FF0" w14:textId="3C36A39D" w:rsidR="00C20EF7" w:rsidRPr="00C20EF7" w:rsidRDefault="00C20EF7" w:rsidP="00C20EF7">
      <w:pPr>
        <w:spacing w:after="0" w:line="360" w:lineRule="auto"/>
        <w:rPr>
          <w:sz w:val="24"/>
          <w:szCs w:val="24"/>
        </w:rPr>
      </w:pPr>
      <w:bookmarkStart w:id="16" w:name="_Hlk531771212"/>
      <w:r w:rsidRPr="00C20EF7">
        <w:rPr>
          <w:sz w:val="24"/>
          <w:szCs w:val="24"/>
        </w:rPr>
        <w:t>TUI (2018</w:t>
      </w:r>
      <w:r>
        <w:rPr>
          <w:sz w:val="24"/>
          <w:szCs w:val="24"/>
        </w:rPr>
        <w:t>a</w:t>
      </w:r>
      <w:r w:rsidRPr="00C20EF7">
        <w:rPr>
          <w:sz w:val="24"/>
          <w:szCs w:val="24"/>
        </w:rPr>
        <w:t>)</w:t>
      </w:r>
      <w:r>
        <w:rPr>
          <w:sz w:val="24"/>
          <w:szCs w:val="24"/>
        </w:rPr>
        <w:t xml:space="preserve">, </w:t>
      </w:r>
      <w:r w:rsidRPr="00C20EF7">
        <w:rPr>
          <w:i/>
          <w:sz w:val="24"/>
          <w:szCs w:val="24"/>
        </w:rPr>
        <w:t xml:space="preserve">Opening Statement to the Joint Oireachtas Committee on Education and Skills regarding </w:t>
      </w:r>
      <w:r w:rsidRPr="00C20EF7">
        <w:rPr>
          <w:rFonts w:eastAsia="Calibri" w:cs="Tahoma"/>
          <w:i/>
          <w:sz w:val="24"/>
          <w:szCs w:val="24"/>
        </w:rPr>
        <w:t>‘school costs, school facilities and related matters’</w:t>
      </w:r>
      <w:r>
        <w:rPr>
          <w:sz w:val="24"/>
          <w:szCs w:val="24"/>
        </w:rPr>
        <w:t xml:space="preserve">, </w:t>
      </w:r>
      <w:r w:rsidRPr="00C20EF7">
        <w:rPr>
          <w:rFonts w:cs="Arial"/>
          <w:sz w:val="24"/>
          <w:szCs w:val="24"/>
        </w:rPr>
        <w:t xml:space="preserve">Dublin: </w:t>
      </w:r>
      <w:r>
        <w:rPr>
          <w:rFonts w:cs="Arial"/>
          <w:sz w:val="24"/>
          <w:szCs w:val="24"/>
        </w:rPr>
        <w:t>Teachers’ Union of Ireland</w:t>
      </w:r>
    </w:p>
    <w:p w14:paraId="7AF5CCE2" w14:textId="172F8765" w:rsidR="00C20EF7" w:rsidRPr="00C20EF7" w:rsidRDefault="00C20EF7" w:rsidP="00C20EF7">
      <w:pPr>
        <w:autoSpaceDE w:val="0"/>
        <w:autoSpaceDN w:val="0"/>
        <w:adjustRightInd w:val="0"/>
        <w:spacing w:after="0" w:line="360" w:lineRule="auto"/>
        <w:jc w:val="both"/>
        <w:rPr>
          <w:rFonts w:cs="Arial"/>
          <w:sz w:val="24"/>
          <w:szCs w:val="24"/>
        </w:rPr>
      </w:pPr>
      <w:r w:rsidRPr="00C20EF7">
        <w:rPr>
          <w:sz w:val="24"/>
          <w:szCs w:val="24"/>
        </w:rPr>
        <w:t>TUI (2018</w:t>
      </w:r>
      <w:r>
        <w:rPr>
          <w:sz w:val="24"/>
          <w:szCs w:val="24"/>
        </w:rPr>
        <w:t>b</w:t>
      </w:r>
      <w:r w:rsidRPr="00C20EF7">
        <w:rPr>
          <w:sz w:val="24"/>
          <w:szCs w:val="24"/>
        </w:rPr>
        <w:t>)</w:t>
      </w:r>
      <w:r>
        <w:rPr>
          <w:sz w:val="24"/>
          <w:szCs w:val="24"/>
        </w:rPr>
        <w:t xml:space="preserve">, </w:t>
      </w:r>
      <w:r w:rsidRPr="00C20EF7">
        <w:rPr>
          <w:i/>
          <w:sz w:val="24"/>
          <w:szCs w:val="24"/>
        </w:rPr>
        <w:t xml:space="preserve">Submission to Joint Oireachtas Committee on Education and Skills regarding </w:t>
      </w:r>
      <w:r w:rsidRPr="00C20EF7">
        <w:rPr>
          <w:rFonts w:eastAsia="Calibri" w:cs="Tahoma"/>
          <w:i/>
          <w:sz w:val="24"/>
          <w:szCs w:val="24"/>
        </w:rPr>
        <w:t>‘issues relating to recruitment and retention of teachers</w:t>
      </w:r>
      <w:r>
        <w:rPr>
          <w:rFonts w:cs="Arial"/>
          <w:sz w:val="24"/>
          <w:szCs w:val="24"/>
        </w:rPr>
        <w:t xml:space="preserve">, </w:t>
      </w:r>
      <w:bookmarkStart w:id="17" w:name="_Hlk16255869"/>
      <w:r w:rsidRPr="00C20EF7">
        <w:rPr>
          <w:rFonts w:cs="Arial"/>
          <w:sz w:val="24"/>
          <w:szCs w:val="24"/>
        </w:rPr>
        <w:t xml:space="preserve">Dublin: </w:t>
      </w:r>
      <w:r>
        <w:rPr>
          <w:rFonts w:cs="Arial"/>
          <w:sz w:val="24"/>
          <w:szCs w:val="24"/>
        </w:rPr>
        <w:t>Teachers’ Union of Ireland</w:t>
      </w:r>
      <w:bookmarkEnd w:id="17"/>
    </w:p>
    <w:p w14:paraId="538F4422" w14:textId="77777777" w:rsidR="00A14C57" w:rsidRPr="00476435" w:rsidRDefault="00A14C57" w:rsidP="00476435">
      <w:pPr>
        <w:spacing w:line="360" w:lineRule="auto"/>
        <w:jc w:val="both"/>
        <w:rPr>
          <w:rFonts w:cs="Arial"/>
          <w:sz w:val="24"/>
          <w:szCs w:val="24"/>
        </w:rPr>
      </w:pPr>
      <w:r w:rsidRPr="00476435">
        <w:rPr>
          <w:rFonts w:cs="Arial"/>
          <w:sz w:val="24"/>
          <w:szCs w:val="24"/>
        </w:rPr>
        <w:t xml:space="preserve">United Nations Development Programme (2018), </w:t>
      </w:r>
      <w:r w:rsidRPr="00476435">
        <w:rPr>
          <w:rFonts w:cs="Arial"/>
          <w:i/>
          <w:sz w:val="24"/>
          <w:szCs w:val="24"/>
        </w:rPr>
        <w:t>Human Development Indices and Indicators: 2018 statistical update</w:t>
      </w:r>
      <w:r w:rsidRPr="00476435">
        <w:rPr>
          <w:rFonts w:cs="Arial"/>
          <w:sz w:val="24"/>
          <w:szCs w:val="24"/>
        </w:rPr>
        <w:t>, New York: United Nations</w:t>
      </w:r>
      <w:bookmarkEnd w:id="16"/>
    </w:p>
    <w:sectPr w:rsidR="00A14C57" w:rsidRPr="004764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DBCA" w14:textId="77777777" w:rsidR="00DB417E" w:rsidRDefault="00DB417E" w:rsidP="001E5DAD">
      <w:pPr>
        <w:spacing w:after="0" w:line="240" w:lineRule="auto"/>
      </w:pPr>
      <w:r>
        <w:separator/>
      </w:r>
    </w:p>
  </w:endnote>
  <w:endnote w:type="continuationSeparator" w:id="0">
    <w:p w14:paraId="55A4B5AB" w14:textId="77777777" w:rsidR="00DB417E" w:rsidRDefault="00DB417E"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14:paraId="3B2949F3" w14:textId="77777777"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14:paraId="3A06CFDC" w14:textId="77777777"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6B72" w14:textId="77777777" w:rsidR="00DB417E" w:rsidRDefault="00DB417E" w:rsidP="001E5DAD">
      <w:pPr>
        <w:spacing w:after="0" w:line="240" w:lineRule="auto"/>
      </w:pPr>
      <w:r>
        <w:separator/>
      </w:r>
    </w:p>
  </w:footnote>
  <w:footnote w:type="continuationSeparator" w:id="0">
    <w:p w14:paraId="3EE257B9" w14:textId="77777777" w:rsidR="00DB417E" w:rsidRDefault="00DB417E"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74AE8"/>
    <w:multiLevelType w:val="hybridMultilevel"/>
    <w:tmpl w:val="BC860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986699"/>
    <w:multiLevelType w:val="hybridMultilevel"/>
    <w:tmpl w:val="92DC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C03F49"/>
    <w:multiLevelType w:val="hybridMultilevel"/>
    <w:tmpl w:val="23724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3B6A96"/>
    <w:multiLevelType w:val="hybridMultilevel"/>
    <w:tmpl w:val="933AB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EB787E"/>
    <w:multiLevelType w:val="hybridMultilevel"/>
    <w:tmpl w:val="A7665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26"/>
  </w:num>
  <w:num w:numId="5">
    <w:abstractNumId w:val="24"/>
  </w:num>
  <w:num w:numId="6">
    <w:abstractNumId w:val="4"/>
  </w:num>
  <w:num w:numId="7">
    <w:abstractNumId w:val="12"/>
  </w:num>
  <w:num w:numId="8">
    <w:abstractNumId w:val="22"/>
  </w:num>
  <w:num w:numId="9">
    <w:abstractNumId w:val="17"/>
  </w:num>
  <w:num w:numId="10">
    <w:abstractNumId w:val="5"/>
  </w:num>
  <w:num w:numId="11">
    <w:abstractNumId w:val="8"/>
  </w:num>
  <w:num w:numId="12">
    <w:abstractNumId w:val="23"/>
  </w:num>
  <w:num w:numId="13">
    <w:abstractNumId w:val="2"/>
  </w:num>
  <w:num w:numId="14">
    <w:abstractNumId w:val="25"/>
  </w:num>
  <w:num w:numId="15">
    <w:abstractNumId w:val="3"/>
  </w:num>
  <w:num w:numId="16">
    <w:abstractNumId w:val="0"/>
  </w:num>
  <w:num w:numId="17">
    <w:abstractNumId w:val="11"/>
  </w:num>
  <w:num w:numId="18">
    <w:abstractNumId w:val="7"/>
  </w:num>
  <w:num w:numId="19">
    <w:abstractNumId w:val="27"/>
  </w:num>
  <w:num w:numId="20">
    <w:abstractNumId w:val="16"/>
  </w:num>
  <w:num w:numId="21">
    <w:abstractNumId w:val="10"/>
  </w:num>
  <w:num w:numId="22">
    <w:abstractNumId w:val="18"/>
  </w:num>
  <w:num w:numId="23">
    <w:abstractNumId w:val="20"/>
  </w:num>
  <w:num w:numId="24">
    <w:abstractNumId w:val="19"/>
  </w:num>
  <w:num w:numId="25">
    <w:abstractNumId w:val="9"/>
  </w:num>
  <w:num w:numId="26">
    <w:abstractNumId w:val="21"/>
  </w:num>
  <w:num w:numId="27">
    <w:abstractNumId w:val="28"/>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5A69"/>
    <w:rsid w:val="00020DB4"/>
    <w:rsid w:val="00021C7B"/>
    <w:rsid w:val="00030807"/>
    <w:rsid w:val="000373BB"/>
    <w:rsid w:val="00037410"/>
    <w:rsid w:val="000478ED"/>
    <w:rsid w:val="00061478"/>
    <w:rsid w:val="000747EB"/>
    <w:rsid w:val="000761CB"/>
    <w:rsid w:val="0007629A"/>
    <w:rsid w:val="000814FF"/>
    <w:rsid w:val="00087033"/>
    <w:rsid w:val="000A32A4"/>
    <w:rsid w:val="000B6848"/>
    <w:rsid w:val="000B6D1B"/>
    <w:rsid w:val="000B70CE"/>
    <w:rsid w:val="000C09F6"/>
    <w:rsid w:val="000C2063"/>
    <w:rsid w:val="000E0247"/>
    <w:rsid w:val="000E218D"/>
    <w:rsid w:val="000E22A7"/>
    <w:rsid w:val="000E49FC"/>
    <w:rsid w:val="000E4F4D"/>
    <w:rsid w:val="000F61E9"/>
    <w:rsid w:val="001036F9"/>
    <w:rsid w:val="0010428C"/>
    <w:rsid w:val="00104EEA"/>
    <w:rsid w:val="00123F17"/>
    <w:rsid w:val="00126A23"/>
    <w:rsid w:val="00130A2C"/>
    <w:rsid w:val="001373E0"/>
    <w:rsid w:val="0015153A"/>
    <w:rsid w:val="001542F7"/>
    <w:rsid w:val="0016203D"/>
    <w:rsid w:val="001674FA"/>
    <w:rsid w:val="001843B1"/>
    <w:rsid w:val="0018717F"/>
    <w:rsid w:val="001903B6"/>
    <w:rsid w:val="0019362F"/>
    <w:rsid w:val="00194340"/>
    <w:rsid w:val="00196E79"/>
    <w:rsid w:val="00197292"/>
    <w:rsid w:val="001A0ED8"/>
    <w:rsid w:val="001A4CC9"/>
    <w:rsid w:val="001A78B0"/>
    <w:rsid w:val="001D412D"/>
    <w:rsid w:val="001E5DAD"/>
    <w:rsid w:val="001F3BFD"/>
    <w:rsid w:val="00200E7E"/>
    <w:rsid w:val="0020709E"/>
    <w:rsid w:val="00207614"/>
    <w:rsid w:val="002203AD"/>
    <w:rsid w:val="002374A4"/>
    <w:rsid w:val="00237706"/>
    <w:rsid w:val="00246EE2"/>
    <w:rsid w:val="00262A94"/>
    <w:rsid w:val="00282CA3"/>
    <w:rsid w:val="002A569F"/>
    <w:rsid w:val="002A70E5"/>
    <w:rsid w:val="002B3562"/>
    <w:rsid w:val="002D649B"/>
    <w:rsid w:val="002D6B85"/>
    <w:rsid w:val="002E13B8"/>
    <w:rsid w:val="002E553B"/>
    <w:rsid w:val="002F2AD1"/>
    <w:rsid w:val="002F5110"/>
    <w:rsid w:val="003103A8"/>
    <w:rsid w:val="003348F4"/>
    <w:rsid w:val="003409C9"/>
    <w:rsid w:val="00342095"/>
    <w:rsid w:val="003500DD"/>
    <w:rsid w:val="003505F9"/>
    <w:rsid w:val="003630F0"/>
    <w:rsid w:val="00364612"/>
    <w:rsid w:val="00376762"/>
    <w:rsid w:val="00383317"/>
    <w:rsid w:val="00383C04"/>
    <w:rsid w:val="003959E2"/>
    <w:rsid w:val="003B07B6"/>
    <w:rsid w:val="003C18DB"/>
    <w:rsid w:val="003C3DC0"/>
    <w:rsid w:val="003D05BB"/>
    <w:rsid w:val="003D29AE"/>
    <w:rsid w:val="003D4A25"/>
    <w:rsid w:val="003E7EED"/>
    <w:rsid w:val="003F14EB"/>
    <w:rsid w:val="003F380D"/>
    <w:rsid w:val="00401B9F"/>
    <w:rsid w:val="00405AA8"/>
    <w:rsid w:val="00406327"/>
    <w:rsid w:val="0041104C"/>
    <w:rsid w:val="0042135E"/>
    <w:rsid w:val="004341CF"/>
    <w:rsid w:val="0043434D"/>
    <w:rsid w:val="0044056A"/>
    <w:rsid w:val="00444AE4"/>
    <w:rsid w:val="00464868"/>
    <w:rsid w:val="00472ABE"/>
    <w:rsid w:val="00476435"/>
    <w:rsid w:val="004849FF"/>
    <w:rsid w:val="00485D6A"/>
    <w:rsid w:val="00487B33"/>
    <w:rsid w:val="004965AF"/>
    <w:rsid w:val="004B21D7"/>
    <w:rsid w:val="004B3052"/>
    <w:rsid w:val="005055F6"/>
    <w:rsid w:val="00507252"/>
    <w:rsid w:val="005104D2"/>
    <w:rsid w:val="005160BD"/>
    <w:rsid w:val="005174F7"/>
    <w:rsid w:val="00537F2A"/>
    <w:rsid w:val="00547022"/>
    <w:rsid w:val="00551508"/>
    <w:rsid w:val="00554298"/>
    <w:rsid w:val="005663E7"/>
    <w:rsid w:val="00572042"/>
    <w:rsid w:val="00577038"/>
    <w:rsid w:val="00590DC6"/>
    <w:rsid w:val="00596E64"/>
    <w:rsid w:val="005A1AA3"/>
    <w:rsid w:val="005A4FDC"/>
    <w:rsid w:val="005A5019"/>
    <w:rsid w:val="005B289F"/>
    <w:rsid w:val="005D7EF3"/>
    <w:rsid w:val="005E23A3"/>
    <w:rsid w:val="005E3702"/>
    <w:rsid w:val="00605718"/>
    <w:rsid w:val="0061555D"/>
    <w:rsid w:val="00627F22"/>
    <w:rsid w:val="006306BB"/>
    <w:rsid w:val="00632D41"/>
    <w:rsid w:val="006475F0"/>
    <w:rsid w:val="00662449"/>
    <w:rsid w:val="00670062"/>
    <w:rsid w:val="00671C18"/>
    <w:rsid w:val="00692299"/>
    <w:rsid w:val="00693C7E"/>
    <w:rsid w:val="00695428"/>
    <w:rsid w:val="00696401"/>
    <w:rsid w:val="0069772B"/>
    <w:rsid w:val="006C3BF5"/>
    <w:rsid w:val="006E0AE7"/>
    <w:rsid w:val="006E4096"/>
    <w:rsid w:val="006E4C85"/>
    <w:rsid w:val="006F2752"/>
    <w:rsid w:val="006F5DF0"/>
    <w:rsid w:val="006F72E3"/>
    <w:rsid w:val="007024A5"/>
    <w:rsid w:val="0071123F"/>
    <w:rsid w:val="00714E32"/>
    <w:rsid w:val="00742439"/>
    <w:rsid w:val="00752E1A"/>
    <w:rsid w:val="007725A4"/>
    <w:rsid w:val="00775B69"/>
    <w:rsid w:val="00790584"/>
    <w:rsid w:val="007941B9"/>
    <w:rsid w:val="007972DC"/>
    <w:rsid w:val="007A2296"/>
    <w:rsid w:val="007B42FE"/>
    <w:rsid w:val="007B4766"/>
    <w:rsid w:val="007B4A4C"/>
    <w:rsid w:val="007C6EA7"/>
    <w:rsid w:val="007D59D1"/>
    <w:rsid w:val="007D5AA5"/>
    <w:rsid w:val="007D7C35"/>
    <w:rsid w:val="007D7C46"/>
    <w:rsid w:val="007D7D5B"/>
    <w:rsid w:val="007E025D"/>
    <w:rsid w:val="007E46FA"/>
    <w:rsid w:val="007E5BC8"/>
    <w:rsid w:val="00821106"/>
    <w:rsid w:val="00836D4D"/>
    <w:rsid w:val="00844B02"/>
    <w:rsid w:val="008457C5"/>
    <w:rsid w:val="00852D95"/>
    <w:rsid w:val="008555E9"/>
    <w:rsid w:val="00855607"/>
    <w:rsid w:val="00861287"/>
    <w:rsid w:val="00866555"/>
    <w:rsid w:val="00870E5E"/>
    <w:rsid w:val="00886F39"/>
    <w:rsid w:val="0088751A"/>
    <w:rsid w:val="0089023E"/>
    <w:rsid w:val="00894A8B"/>
    <w:rsid w:val="008C1AAB"/>
    <w:rsid w:val="008C7075"/>
    <w:rsid w:val="008D3DE9"/>
    <w:rsid w:val="008D7DF4"/>
    <w:rsid w:val="008E17AE"/>
    <w:rsid w:val="008E31BF"/>
    <w:rsid w:val="008F0276"/>
    <w:rsid w:val="008F5D4B"/>
    <w:rsid w:val="00911BE1"/>
    <w:rsid w:val="009204E0"/>
    <w:rsid w:val="009244B3"/>
    <w:rsid w:val="00925397"/>
    <w:rsid w:val="00933273"/>
    <w:rsid w:val="00943717"/>
    <w:rsid w:val="00960A99"/>
    <w:rsid w:val="00964FCE"/>
    <w:rsid w:val="00970670"/>
    <w:rsid w:val="009833B2"/>
    <w:rsid w:val="00990B58"/>
    <w:rsid w:val="00996DAF"/>
    <w:rsid w:val="009A2D93"/>
    <w:rsid w:val="009B5314"/>
    <w:rsid w:val="009C552F"/>
    <w:rsid w:val="009D40FE"/>
    <w:rsid w:val="009D77E5"/>
    <w:rsid w:val="009E3863"/>
    <w:rsid w:val="00A01EFB"/>
    <w:rsid w:val="00A04358"/>
    <w:rsid w:val="00A04C74"/>
    <w:rsid w:val="00A12494"/>
    <w:rsid w:val="00A14C57"/>
    <w:rsid w:val="00A21D2A"/>
    <w:rsid w:val="00A23190"/>
    <w:rsid w:val="00A301A7"/>
    <w:rsid w:val="00A43DEB"/>
    <w:rsid w:val="00A45A22"/>
    <w:rsid w:val="00A46711"/>
    <w:rsid w:val="00A52D27"/>
    <w:rsid w:val="00A560A4"/>
    <w:rsid w:val="00A67B64"/>
    <w:rsid w:val="00A81D53"/>
    <w:rsid w:val="00A93302"/>
    <w:rsid w:val="00AB30BB"/>
    <w:rsid w:val="00AC068A"/>
    <w:rsid w:val="00AC49BB"/>
    <w:rsid w:val="00AC6DA7"/>
    <w:rsid w:val="00AC6FC2"/>
    <w:rsid w:val="00AD7A53"/>
    <w:rsid w:val="00AF2879"/>
    <w:rsid w:val="00AF2DE2"/>
    <w:rsid w:val="00AF31A1"/>
    <w:rsid w:val="00AF4C85"/>
    <w:rsid w:val="00B0086B"/>
    <w:rsid w:val="00B00A9A"/>
    <w:rsid w:val="00B041E2"/>
    <w:rsid w:val="00B1597F"/>
    <w:rsid w:val="00B275A3"/>
    <w:rsid w:val="00B31A73"/>
    <w:rsid w:val="00B40FA7"/>
    <w:rsid w:val="00B42153"/>
    <w:rsid w:val="00B45B26"/>
    <w:rsid w:val="00B47744"/>
    <w:rsid w:val="00B5761B"/>
    <w:rsid w:val="00B604AB"/>
    <w:rsid w:val="00B80181"/>
    <w:rsid w:val="00B805A7"/>
    <w:rsid w:val="00B85E6A"/>
    <w:rsid w:val="00B87FC0"/>
    <w:rsid w:val="00B965F9"/>
    <w:rsid w:val="00BA0886"/>
    <w:rsid w:val="00BB24CC"/>
    <w:rsid w:val="00BB6253"/>
    <w:rsid w:val="00BC397C"/>
    <w:rsid w:val="00BD0FAF"/>
    <w:rsid w:val="00BD16B5"/>
    <w:rsid w:val="00BD3F30"/>
    <w:rsid w:val="00BE047F"/>
    <w:rsid w:val="00BE3EA4"/>
    <w:rsid w:val="00BE44E7"/>
    <w:rsid w:val="00BE5ADF"/>
    <w:rsid w:val="00BF1F56"/>
    <w:rsid w:val="00BF7DBD"/>
    <w:rsid w:val="00C04963"/>
    <w:rsid w:val="00C15932"/>
    <w:rsid w:val="00C2074B"/>
    <w:rsid w:val="00C20EF7"/>
    <w:rsid w:val="00C20F3D"/>
    <w:rsid w:val="00C31378"/>
    <w:rsid w:val="00C43B5E"/>
    <w:rsid w:val="00C570F1"/>
    <w:rsid w:val="00C71902"/>
    <w:rsid w:val="00C75B3A"/>
    <w:rsid w:val="00C82175"/>
    <w:rsid w:val="00C82359"/>
    <w:rsid w:val="00C82E3C"/>
    <w:rsid w:val="00C866CB"/>
    <w:rsid w:val="00C8791A"/>
    <w:rsid w:val="00C96787"/>
    <w:rsid w:val="00CB3A74"/>
    <w:rsid w:val="00CC2E33"/>
    <w:rsid w:val="00CE789D"/>
    <w:rsid w:val="00CF09DF"/>
    <w:rsid w:val="00D013A7"/>
    <w:rsid w:val="00D05374"/>
    <w:rsid w:val="00D06190"/>
    <w:rsid w:val="00D077AC"/>
    <w:rsid w:val="00D223A8"/>
    <w:rsid w:val="00D22D32"/>
    <w:rsid w:val="00D30809"/>
    <w:rsid w:val="00D317E4"/>
    <w:rsid w:val="00D463B4"/>
    <w:rsid w:val="00D5057C"/>
    <w:rsid w:val="00D5471B"/>
    <w:rsid w:val="00D54949"/>
    <w:rsid w:val="00D56152"/>
    <w:rsid w:val="00D61DEB"/>
    <w:rsid w:val="00D67347"/>
    <w:rsid w:val="00D750D5"/>
    <w:rsid w:val="00D81958"/>
    <w:rsid w:val="00D82B80"/>
    <w:rsid w:val="00D8462B"/>
    <w:rsid w:val="00D85EDF"/>
    <w:rsid w:val="00D943C0"/>
    <w:rsid w:val="00DA62B1"/>
    <w:rsid w:val="00DB417E"/>
    <w:rsid w:val="00DB78F2"/>
    <w:rsid w:val="00DC52A6"/>
    <w:rsid w:val="00DD0EF8"/>
    <w:rsid w:val="00DD6132"/>
    <w:rsid w:val="00DF3B6B"/>
    <w:rsid w:val="00E33EBD"/>
    <w:rsid w:val="00E4177A"/>
    <w:rsid w:val="00E45461"/>
    <w:rsid w:val="00E46AC7"/>
    <w:rsid w:val="00E512CE"/>
    <w:rsid w:val="00E63D39"/>
    <w:rsid w:val="00E70C0A"/>
    <w:rsid w:val="00E73014"/>
    <w:rsid w:val="00E7790C"/>
    <w:rsid w:val="00E90F0F"/>
    <w:rsid w:val="00EA0D26"/>
    <w:rsid w:val="00EB31F6"/>
    <w:rsid w:val="00EB75A4"/>
    <w:rsid w:val="00EC3D1B"/>
    <w:rsid w:val="00EC5BF6"/>
    <w:rsid w:val="00EF1D64"/>
    <w:rsid w:val="00F00375"/>
    <w:rsid w:val="00F0103A"/>
    <w:rsid w:val="00F0172A"/>
    <w:rsid w:val="00F2507B"/>
    <w:rsid w:val="00F56CF9"/>
    <w:rsid w:val="00F67C98"/>
    <w:rsid w:val="00F71F8F"/>
    <w:rsid w:val="00F72414"/>
    <w:rsid w:val="00F737E2"/>
    <w:rsid w:val="00F801F4"/>
    <w:rsid w:val="00F8484A"/>
    <w:rsid w:val="00F84E46"/>
    <w:rsid w:val="00F855DE"/>
    <w:rsid w:val="00F95C41"/>
    <w:rsid w:val="00FB37BF"/>
    <w:rsid w:val="00FB5A84"/>
    <w:rsid w:val="00FC0292"/>
    <w:rsid w:val="00FC0AD0"/>
    <w:rsid w:val="00FC34CB"/>
    <w:rsid w:val="00FC3DC2"/>
    <w:rsid w:val="00FC6EF4"/>
    <w:rsid w:val="00FC73A7"/>
    <w:rsid w:val="00FC7805"/>
    <w:rsid w:val="00FE6A22"/>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56D1"/>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5152">
      <w:bodyDiv w:val="1"/>
      <w:marLeft w:val="0"/>
      <w:marRight w:val="0"/>
      <w:marTop w:val="0"/>
      <w:marBottom w:val="0"/>
      <w:divBdr>
        <w:top w:val="none" w:sz="0" w:space="0" w:color="auto"/>
        <w:left w:val="none" w:sz="0" w:space="0" w:color="auto"/>
        <w:bottom w:val="none" w:sz="0" w:space="0" w:color="auto"/>
        <w:right w:val="none" w:sz="0" w:space="0" w:color="auto"/>
      </w:divBdr>
    </w:div>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 w:id="1905486601">
      <w:bodyDiv w:val="1"/>
      <w:marLeft w:val="0"/>
      <w:marRight w:val="0"/>
      <w:marTop w:val="0"/>
      <w:marBottom w:val="0"/>
      <w:divBdr>
        <w:top w:val="none" w:sz="0" w:space="0" w:color="auto"/>
        <w:left w:val="none" w:sz="0" w:space="0" w:color="auto"/>
        <w:bottom w:val="none" w:sz="0" w:space="0" w:color="auto"/>
        <w:right w:val="none" w:sz="0" w:space="0" w:color="auto"/>
      </w:divBdr>
    </w:div>
    <w:div w:id="19187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2018-12-13T15:01:00Z</cp:lastPrinted>
  <dcterms:created xsi:type="dcterms:W3CDTF">2019-08-16T14:40:00Z</dcterms:created>
  <dcterms:modified xsi:type="dcterms:W3CDTF">2019-08-16T14:40:00Z</dcterms:modified>
</cp:coreProperties>
</file>